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7E5A2F" w:rsidRPr="007E5A2F" w14:paraId="275D8721" w14:textId="77777777" w:rsidTr="007A7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03D8" w14:textId="77777777" w:rsidR="007A7DDF" w:rsidRPr="007E5A2F" w:rsidRDefault="007A7DDF" w:rsidP="007A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5A2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Core indicators</w:t>
            </w:r>
          </w:p>
          <w:p w14:paraId="13CC802A" w14:textId="77777777" w:rsidR="007A7DDF" w:rsidRPr="007E5A2F" w:rsidRDefault="007A7DDF" w:rsidP="007A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2F">
              <w:rPr>
                <w:rFonts w:eastAsia="Times New Roman"/>
                <w:sz w:val="24"/>
                <w:szCs w:val="24"/>
              </w:rPr>
              <w:t xml:space="preserve">Required for all interventions using MPC </w:t>
            </w:r>
          </w:p>
        </w:tc>
      </w:tr>
      <w:tr w:rsidR="007E5A2F" w:rsidRPr="007E5A2F" w14:paraId="42835512" w14:textId="77777777" w:rsidTr="007A7DD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B57C" w14:textId="77777777" w:rsidR="007A7DDF" w:rsidRPr="007E5A2F" w:rsidRDefault="007A7DDF" w:rsidP="007A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2F">
              <w:rPr>
                <w:rFonts w:eastAsia="Times New Roman"/>
                <w:b/>
                <w:bCs/>
                <w:sz w:val="28"/>
                <w:szCs w:val="28"/>
              </w:rPr>
              <w:t>WASH</w:t>
            </w:r>
          </w:p>
          <w:p w14:paraId="3DE02E3D" w14:textId="77777777" w:rsidR="002B17D3" w:rsidRPr="007E5A2F" w:rsidRDefault="002B17D3" w:rsidP="007E5A2F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There are no WASH outcome indicators that should be systematically included in all MPC. The inclusion of WASH outcome</w:t>
            </w:r>
            <w:r w:rsidR="00E123A4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s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in a project including</w:t>
            </w:r>
            <w:r w:rsidR="00E60914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/utilizing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MPC modality is conditional to: </w:t>
            </w:r>
          </w:p>
          <w:p w14:paraId="5C5AABFB" w14:textId="77777777" w:rsidR="0064422E" w:rsidRPr="007E5A2F" w:rsidRDefault="00713B75" w:rsidP="007E5A2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the implementation of a </w:t>
            </w:r>
            <w:r w:rsidR="006442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market analysis 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prior to the project design </w:t>
            </w:r>
            <w:r w:rsidR="006442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showing that 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critical </w:t>
            </w:r>
            <w:r w:rsidR="006442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WASH market systems can respond adequately to an increased demand of WASH services and commodities;</w:t>
            </w:r>
          </w:p>
          <w:p w14:paraId="1D84A383" w14:textId="77777777" w:rsidR="00713B75" w:rsidRPr="007E5A2F" w:rsidRDefault="00713B75" w:rsidP="007E5A2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the inclusion of WASH related costs in the MPC transfer value, based on the relevant MEB or other means of calculation;</w:t>
            </w:r>
          </w:p>
          <w:p w14:paraId="04819E94" w14:textId="77777777" w:rsidR="00092DDB" w:rsidRPr="007E5A2F" w:rsidRDefault="00092DDB" w:rsidP="007E5A2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the implementation of further types of interventions and modalities alongside the MPC as recommended during the response analysis and desig</w:t>
            </w:r>
            <w:r w:rsidR="006442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n phase to meet sector outcomes. T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he Gl</w:t>
            </w:r>
            <w:r w:rsidR="00E60914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obal WASH Cluster recommends using </w:t>
            </w:r>
            <w:r w:rsidR="00292CB0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MPC with 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a mix of </w:t>
            </w:r>
            <w:r w:rsidR="00292CB0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other 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approaches such as local WASH market support, community engagement, capacity building, behavior change, direct service delivery</w:t>
            </w:r>
            <w:r w:rsidR="00713B75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, vouchers, labelled or conditional 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cash transfer where relevant;</w:t>
            </w:r>
          </w:p>
          <w:p w14:paraId="7BAD39E7" w14:textId="77777777" w:rsidR="002B17D3" w:rsidRPr="007E5A2F" w:rsidRDefault="00E123A4" w:rsidP="007E5A2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the participation of relevant WASH technical human resource</w:t>
            </w:r>
            <w:r w:rsidR="00956919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s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</w:t>
            </w:r>
            <w:r w:rsidR="00092DDB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to support the management / coordination of </w:t>
            </w:r>
            <w:r w:rsidR="0077781A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all phase</w:t>
            </w:r>
            <w:r w:rsidR="00092DDB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s</w:t>
            </w:r>
            <w:r w:rsidR="0077781A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of the 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project</w:t>
            </w:r>
            <w:r w:rsidR="00092DDB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(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level of </w:t>
            </w:r>
            <w:r w:rsidR="0077781A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assessment, response analysis, 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design, implementatio</w:t>
            </w:r>
            <w:r w:rsidR="00092DDB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n and monitoring);</w:t>
            </w:r>
          </w:p>
          <w:p w14:paraId="3F933E37" w14:textId="77777777" w:rsidR="00E123A4" w:rsidRPr="007E5A2F" w:rsidRDefault="00E123A4" w:rsidP="00E123A4">
            <w:pPr>
              <w:spacing w:after="0" w:line="240" w:lineRule="auto"/>
              <w:ind w:left="720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</w:p>
          <w:p w14:paraId="0FDC7F64" w14:textId="68C5836C" w:rsidR="006C6D23" w:rsidRPr="007E5A2F" w:rsidRDefault="006C6D23" w:rsidP="007E5A2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If these conditions are met, one or several MPC-Contributing Indicators listed below should be included</w:t>
            </w:r>
            <w:r w:rsidR="007E5A2F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.</w:t>
            </w:r>
          </w:p>
          <w:p w14:paraId="771481D3" w14:textId="77777777" w:rsidR="007E5A2F" w:rsidRPr="007E5A2F" w:rsidRDefault="007E5A2F" w:rsidP="007E5A2F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</w:p>
          <w:p w14:paraId="0A696BF0" w14:textId="341DD22B" w:rsidR="006C6D23" w:rsidRPr="007E5A2F" w:rsidRDefault="006A6B2E" w:rsidP="007E5A2F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If these conditions are not met</w:t>
            </w:r>
            <w:r w:rsidR="006C6D2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: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</w:t>
            </w:r>
          </w:p>
          <w:p w14:paraId="0EC6A205" w14:textId="5EA1D1D0" w:rsidR="005230B3" w:rsidRPr="007E5A2F" w:rsidRDefault="006A6B2E" w:rsidP="007E5A2F">
            <w:pPr>
              <w:pStyle w:val="ListParagraph"/>
              <w:numPr>
                <w:ilvl w:val="0"/>
                <w:numId w:val="30"/>
              </w:numPr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the achievement of WASH indicators at outcome level cannot be assured at sector standards and </w:t>
            </w:r>
            <w:r w:rsidR="006C6D2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no WASH outcome indicator </w:t>
            </w:r>
            <w:r w:rsidR="007E5A2F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should be included;</w:t>
            </w:r>
          </w:p>
          <w:p w14:paraId="606CA1AD" w14:textId="05629F83" w:rsidR="00402CC8" w:rsidRPr="007E5A2F" w:rsidRDefault="0077781A" w:rsidP="007E5A2F">
            <w:pPr>
              <w:pStyle w:val="ListParagraph"/>
              <w:numPr>
                <w:ilvl w:val="0"/>
                <w:numId w:val="30"/>
              </w:numPr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the WASH indicators listed in the </w:t>
            </w:r>
            <w:r w:rsidR="006A6B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“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MPC-Contributing Indicators</w:t>
            </w:r>
            <w:r w:rsidR="006A6B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”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section below </w:t>
            </w:r>
            <w:r w:rsidR="006C6D2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can still </w:t>
            </w:r>
            <w:r w:rsidR="005230B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be</w:t>
            </w:r>
            <w:r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</w:t>
            </w:r>
            <w:r w:rsidR="006A6B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used </w:t>
            </w:r>
            <w:r w:rsidR="00E123A4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to monitor the situation </w:t>
            </w:r>
            <w:r w:rsidR="005230B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(</w:t>
            </w:r>
            <w:r w:rsidR="006C6D2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but </w:t>
            </w:r>
            <w:r w:rsidR="005230B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not the project</w:t>
            </w:r>
            <w:r w:rsidR="006A6B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’s</w:t>
            </w:r>
            <w:r w:rsidR="005230B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results) </w:t>
            </w:r>
            <w:r w:rsidR="00E123A4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and </w:t>
            </w:r>
            <w:r w:rsidR="00CF568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take actions to </w:t>
            </w:r>
            <w:r w:rsidR="00292CB0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improve </w:t>
            </w:r>
            <w:r w:rsidR="005230B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the project</w:t>
            </w:r>
            <w:r w:rsidR="006C6D2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’s</w:t>
            </w:r>
            <w:r w:rsidR="005230B3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 design </w:t>
            </w:r>
            <w:r w:rsidR="006A6B2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>when necessary</w:t>
            </w:r>
            <w:r w:rsidR="00CF568E" w:rsidRPr="007E5A2F">
              <w:rPr>
                <w:rFonts w:ascii="Noto Sans Symbols" w:eastAsia="Times New Roman" w:hAnsi="Noto Sans Symbols" w:cs="Times New Roman"/>
                <w:sz w:val="20"/>
                <w:szCs w:val="20"/>
              </w:rPr>
              <w:t xml:space="preserve">. </w:t>
            </w:r>
          </w:p>
        </w:tc>
      </w:tr>
      <w:tr w:rsidR="007A7DDF" w:rsidRPr="007E5A2F" w14:paraId="57FD98B2" w14:textId="77777777" w:rsidTr="007A7DDF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6A9B" w14:textId="77777777" w:rsidR="007A7DDF" w:rsidRPr="007E5A2F" w:rsidRDefault="007A7DDF" w:rsidP="007A7DDF">
            <w:pPr>
              <w:spacing w:after="0" w:line="240" w:lineRule="auto"/>
              <w:rPr>
                <w:rFonts w:ascii="Noto Sans Symbols" w:eastAsia="Times New Roman" w:hAnsi="Noto Sans Symbols" w:cs="Times New Roman"/>
                <w:sz w:val="20"/>
                <w:szCs w:val="20"/>
              </w:rPr>
            </w:pPr>
          </w:p>
        </w:tc>
      </w:tr>
    </w:tbl>
    <w:p w14:paraId="36D7BD15" w14:textId="77777777" w:rsidR="00D82147" w:rsidRPr="007E5A2F" w:rsidRDefault="00D82147"/>
    <w:tbl>
      <w:tblPr>
        <w:tblStyle w:val="a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E5A2F" w:rsidRPr="007E5A2F" w14:paraId="46E1C844" w14:textId="77777777" w:rsidTr="0064422E">
        <w:tc>
          <w:tcPr>
            <w:tcW w:w="9350" w:type="dxa"/>
            <w:shd w:val="clear" w:color="auto" w:fill="D9D9D9"/>
          </w:tcPr>
          <w:p w14:paraId="0D7D8EFF" w14:textId="77777777" w:rsidR="00E6394D" w:rsidRPr="007E5A2F" w:rsidRDefault="00E6394D" w:rsidP="00E6394D">
            <w:pPr>
              <w:rPr>
                <w:b/>
                <w:i/>
                <w:sz w:val="24"/>
                <w:szCs w:val="24"/>
              </w:rPr>
            </w:pPr>
            <w:r w:rsidRPr="007E5A2F">
              <w:rPr>
                <w:b/>
                <w:i/>
                <w:sz w:val="24"/>
                <w:szCs w:val="24"/>
              </w:rPr>
              <w:t>Core Qualitative Question</w:t>
            </w:r>
          </w:p>
          <w:p w14:paraId="24E3813D" w14:textId="77777777" w:rsidR="00D82147" w:rsidRPr="007E5A2F" w:rsidRDefault="00E6394D" w:rsidP="00E6394D">
            <w:pPr>
              <w:rPr>
                <w:sz w:val="24"/>
                <w:szCs w:val="24"/>
              </w:rPr>
            </w:pPr>
            <w:r w:rsidRPr="007E5A2F">
              <w:rPr>
                <w:sz w:val="24"/>
                <w:szCs w:val="24"/>
              </w:rPr>
              <w:t>Strongly recommended for all interventions using MPC</w:t>
            </w:r>
          </w:p>
        </w:tc>
      </w:tr>
      <w:tr w:rsidR="007E5A2F" w:rsidRPr="007E5A2F" w14:paraId="70151735" w14:textId="77777777" w:rsidTr="0064422E">
        <w:trPr>
          <w:trHeight w:val="269"/>
        </w:trPr>
        <w:tc>
          <w:tcPr>
            <w:tcW w:w="9350" w:type="dxa"/>
            <w:vMerge w:val="restart"/>
          </w:tcPr>
          <w:p w14:paraId="5ECCC100" w14:textId="77777777" w:rsidR="000B4055" w:rsidRPr="007E5A2F" w:rsidRDefault="005230B3" w:rsidP="005230B3">
            <w:r w:rsidRPr="007E5A2F">
              <w:t>N/A</w:t>
            </w:r>
          </w:p>
        </w:tc>
      </w:tr>
      <w:tr w:rsidR="007E5A2F" w:rsidRPr="007E5A2F" w14:paraId="44C2C799" w14:textId="77777777" w:rsidTr="0008675E">
        <w:trPr>
          <w:trHeight w:val="269"/>
        </w:trPr>
        <w:tc>
          <w:tcPr>
            <w:tcW w:w="9350" w:type="dxa"/>
            <w:vMerge/>
          </w:tcPr>
          <w:p w14:paraId="74282FE8" w14:textId="77777777" w:rsidR="000B4055" w:rsidRPr="007E5A2F" w:rsidRDefault="000B4055" w:rsidP="000B4055"/>
        </w:tc>
      </w:tr>
    </w:tbl>
    <w:p w14:paraId="7F701D35" w14:textId="77777777" w:rsidR="00D82147" w:rsidRPr="007E5A2F" w:rsidRDefault="00D82147"/>
    <w:tbl>
      <w:tblPr>
        <w:tblStyle w:val="a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7E5A2F" w:rsidRPr="007E5A2F" w14:paraId="7BB8D4A5" w14:textId="77777777" w:rsidTr="0064422E">
        <w:tc>
          <w:tcPr>
            <w:tcW w:w="9360" w:type="dxa"/>
            <w:shd w:val="clear" w:color="auto" w:fill="D9D9D9"/>
          </w:tcPr>
          <w:p w14:paraId="0B1D7849" w14:textId="77777777" w:rsidR="00D82147" w:rsidRPr="007E5A2F" w:rsidRDefault="00973D2A">
            <w:pPr>
              <w:rPr>
                <w:sz w:val="24"/>
                <w:szCs w:val="24"/>
              </w:rPr>
            </w:pPr>
            <w:r w:rsidRPr="007E5A2F">
              <w:rPr>
                <w:b/>
                <w:i/>
                <w:sz w:val="24"/>
                <w:szCs w:val="24"/>
              </w:rPr>
              <w:t>MPC-Contributing Indicators</w:t>
            </w:r>
          </w:p>
          <w:p w14:paraId="049C5014" w14:textId="77777777" w:rsidR="00D82147" w:rsidRPr="007E5A2F" w:rsidRDefault="00973D2A">
            <w:pPr>
              <w:rPr>
                <w:sz w:val="24"/>
                <w:szCs w:val="24"/>
              </w:rPr>
            </w:pPr>
            <w:r w:rsidRPr="007E5A2F">
              <w:rPr>
                <w:sz w:val="24"/>
                <w:szCs w:val="24"/>
              </w:rPr>
              <w:t xml:space="preserve">Required for all interventions in which the sector is reflected in the MEB, unless other indicators for that sector supersede them for a given program or response </w:t>
            </w:r>
          </w:p>
        </w:tc>
      </w:tr>
      <w:tr w:rsidR="007E5A2F" w:rsidRPr="007E5A2F" w14:paraId="6B47223C" w14:textId="77777777" w:rsidTr="0064422E">
        <w:tc>
          <w:tcPr>
            <w:tcW w:w="9360" w:type="dxa"/>
          </w:tcPr>
          <w:p w14:paraId="7CC2C5C8" w14:textId="77777777" w:rsidR="00E6394D" w:rsidRPr="007E5A2F" w:rsidRDefault="00E6394D" w:rsidP="00E6394D">
            <w:pPr>
              <w:rPr>
                <w:b/>
              </w:rPr>
            </w:pPr>
            <w:r w:rsidRPr="007E5A2F">
              <w:rPr>
                <w:b/>
              </w:rPr>
              <w:t>WASH</w:t>
            </w:r>
          </w:p>
          <w:p w14:paraId="572A95FF" w14:textId="77777777" w:rsidR="00402CC8" w:rsidRPr="007E5A2F" w:rsidRDefault="00402CC8" w:rsidP="00E6394D">
            <w:pPr>
              <w:rPr>
                <w:sz w:val="20"/>
              </w:rPr>
            </w:pPr>
          </w:p>
          <w:p w14:paraId="1DB818C5" w14:textId="5D0385CC" w:rsidR="005433A9" w:rsidRPr="007E5A2F" w:rsidRDefault="005230B3" w:rsidP="00E6394D">
            <w:pPr>
              <w:rPr>
                <w:sz w:val="20"/>
              </w:rPr>
            </w:pPr>
            <w:r w:rsidRPr="007E5A2F">
              <w:rPr>
                <w:sz w:val="20"/>
              </w:rPr>
              <w:t>Wherever</w:t>
            </w:r>
            <w:r w:rsidR="005433A9" w:rsidRPr="007E5A2F">
              <w:rPr>
                <w:sz w:val="20"/>
              </w:rPr>
              <w:t xml:space="preserve"> the condition</w:t>
            </w:r>
            <w:r w:rsidR="00E123A4" w:rsidRPr="007E5A2F">
              <w:rPr>
                <w:sz w:val="20"/>
              </w:rPr>
              <w:t>s</w:t>
            </w:r>
            <w:r w:rsidR="005433A9" w:rsidRPr="007E5A2F">
              <w:rPr>
                <w:sz w:val="20"/>
              </w:rPr>
              <w:t xml:space="preserve"> </w:t>
            </w:r>
            <w:r w:rsidRPr="007E5A2F">
              <w:rPr>
                <w:sz w:val="20"/>
              </w:rPr>
              <w:t xml:space="preserve">listed in the </w:t>
            </w:r>
            <w:r w:rsidR="00726276" w:rsidRPr="007E5A2F">
              <w:rPr>
                <w:i/>
                <w:sz w:val="20"/>
              </w:rPr>
              <w:t>Core I</w:t>
            </w:r>
            <w:r w:rsidRPr="007E5A2F">
              <w:rPr>
                <w:i/>
                <w:sz w:val="20"/>
              </w:rPr>
              <w:t>ndicators</w:t>
            </w:r>
            <w:r w:rsidRPr="007E5A2F">
              <w:rPr>
                <w:sz w:val="20"/>
              </w:rPr>
              <w:t xml:space="preserve"> are</w:t>
            </w:r>
            <w:r w:rsidR="005433A9" w:rsidRPr="007E5A2F">
              <w:rPr>
                <w:sz w:val="20"/>
              </w:rPr>
              <w:t xml:space="preserve"> met, </w:t>
            </w:r>
            <w:r w:rsidR="001B0BEC" w:rsidRPr="007E5A2F">
              <w:rPr>
                <w:sz w:val="20"/>
              </w:rPr>
              <w:t xml:space="preserve">the following </w:t>
            </w:r>
            <w:r w:rsidR="005433A9" w:rsidRPr="007E5A2F">
              <w:rPr>
                <w:sz w:val="20"/>
              </w:rPr>
              <w:t>WASH outcome indicators can be included in the project</w:t>
            </w:r>
            <w:r w:rsidR="001B0BEC" w:rsidRPr="007E5A2F">
              <w:rPr>
                <w:sz w:val="20"/>
              </w:rPr>
              <w:t>’s monitoring framework</w:t>
            </w:r>
            <w:r w:rsidR="005433A9" w:rsidRPr="007E5A2F">
              <w:rPr>
                <w:sz w:val="20"/>
              </w:rPr>
              <w:t xml:space="preserve">, depending on the WASH subdomains </w:t>
            </w:r>
            <w:r w:rsidR="00196991" w:rsidRPr="007E5A2F">
              <w:rPr>
                <w:sz w:val="20"/>
              </w:rPr>
              <w:t xml:space="preserve">included </w:t>
            </w:r>
            <w:r w:rsidR="00292CB0" w:rsidRPr="007E5A2F">
              <w:rPr>
                <w:sz w:val="20"/>
              </w:rPr>
              <w:t xml:space="preserve">in </w:t>
            </w:r>
            <w:r w:rsidR="005433A9" w:rsidRPr="007E5A2F">
              <w:rPr>
                <w:sz w:val="20"/>
              </w:rPr>
              <w:t xml:space="preserve">the </w:t>
            </w:r>
            <w:r w:rsidR="00196991" w:rsidRPr="007E5A2F">
              <w:rPr>
                <w:sz w:val="20"/>
              </w:rPr>
              <w:t>MPC transfer value</w:t>
            </w:r>
            <w:r w:rsidR="001B0BEC" w:rsidRPr="007E5A2F">
              <w:rPr>
                <w:sz w:val="20"/>
              </w:rPr>
              <w:t>. As stated above, all these indicators can also be used outside the project monitoring framework to monitor the situation only (and not the project’s results).</w:t>
            </w:r>
          </w:p>
          <w:p w14:paraId="6B30CD21" w14:textId="77777777" w:rsidR="001B0BEC" w:rsidRPr="007E5A2F" w:rsidRDefault="001B0BEC" w:rsidP="00E6394D">
            <w:pPr>
              <w:rPr>
                <w:sz w:val="20"/>
              </w:rPr>
            </w:pPr>
          </w:p>
          <w:p w14:paraId="3A9AF7A3" w14:textId="084AFAB9" w:rsidR="005433A9" w:rsidRPr="007E5A2F" w:rsidRDefault="005433A9" w:rsidP="00E123A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E5A2F">
              <w:rPr>
                <w:sz w:val="20"/>
              </w:rPr>
              <w:t xml:space="preserve">If </w:t>
            </w:r>
            <w:r w:rsidR="00E123A4" w:rsidRPr="007E5A2F">
              <w:rPr>
                <w:sz w:val="20"/>
              </w:rPr>
              <w:t xml:space="preserve">water supply </w:t>
            </w:r>
            <w:r w:rsidR="00196991" w:rsidRPr="007E5A2F">
              <w:rPr>
                <w:sz w:val="20"/>
              </w:rPr>
              <w:t>related cost are included</w:t>
            </w:r>
            <w:r w:rsidR="001B0BEC" w:rsidRPr="007E5A2F">
              <w:rPr>
                <w:sz w:val="20"/>
              </w:rPr>
              <w:t xml:space="preserve"> in the transfer value</w:t>
            </w:r>
            <w:r w:rsidRPr="007E5A2F">
              <w:rPr>
                <w:sz w:val="20"/>
              </w:rPr>
              <w:t>:</w:t>
            </w:r>
          </w:p>
          <w:p w14:paraId="661AF949" w14:textId="77777777" w:rsidR="005433A9" w:rsidRPr="007E5A2F" w:rsidRDefault="005433A9" w:rsidP="00E123A4">
            <w:pPr>
              <w:pStyle w:val="ListParagraph"/>
              <w:numPr>
                <w:ilvl w:val="1"/>
                <w:numId w:val="10"/>
              </w:numPr>
              <w:rPr>
                <w:sz w:val="20"/>
              </w:rPr>
            </w:pPr>
            <w:r w:rsidRPr="007E5A2F">
              <w:rPr>
                <w:rFonts w:eastAsia="Times New Roman"/>
                <w:sz w:val="20"/>
              </w:rPr>
              <w:lastRenderedPageBreak/>
              <w:t xml:space="preserve">Percentage of beneficiary households with adequate access to </w:t>
            </w:r>
            <w:r w:rsidR="006B7815" w:rsidRPr="007E5A2F">
              <w:rPr>
                <w:rFonts w:eastAsia="Times New Roman"/>
                <w:sz w:val="20"/>
              </w:rPr>
              <w:t xml:space="preserve">water for </w:t>
            </w:r>
            <w:r w:rsidR="00196991" w:rsidRPr="007E5A2F">
              <w:rPr>
                <w:rFonts w:eastAsia="Times New Roman"/>
                <w:sz w:val="20"/>
              </w:rPr>
              <w:t>D</w:t>
            </w:r>
            <w:r w:rsidR="006B7815" w:rsidRPr="007E5A2F">
              <w:rPr>
                <w:rFonts w:eastAsia="Times New Roman"/>
                <w:sz w:val="20"/>
              </w:rPr>
              <w:t xml:space="preserve">rinking, </w:t>
            </w:r>
            <w:r w:rsidR="00196991" w:rsidRPr="007E5A2F">
              <w:rPr>
                <w:rFonts w:eastAsia="Times New Roman"/>
                <w:sz w:val="20"/>
              </w:rPr>
              <w:t>C</w:t>
            </w:r>
            <w:r w:rsidR="006B7815" w:rsidRPr="007E5A2F">
              <w:rPr>
                <w:rFonts w:eastAsia="Times New Roman"/>
                <w:sz w:val="20"/>
              </w:rPr>
              <w:t>ooking, and Personal and Domestic Hygiene</w:t>
            </w:r>
            <w:r w:rsidRPr="007E5A2F">
              <w:rPr>
                <w:rFonts w:eastAsia="Times New Roman"/>
                <w:sz w:val="20"/>
              </w:rPr>
              <w:t xml:space="preserve"> </w:t>
            </w:r>
            <w:r w:rsidRPr="007E5A2F">
              <w:rPr>
                <w:sz w:val="20"/>
              </w:rPr>
              <w:t>at agreed standard</w:t>
            </w:r>
            <w:r w:rsidR="005230B3" w:rsidRPr="007E5A2F">
              <w:rPr>
                <w:sz w:val="20"/>
              </w:rPr>
              <w:t>s</w:t>
            </w:r>
            <w:r w:rsidRPr="007E5A2F">
              <w:rPr>
                <w:rFonts w:eastAsia="Times New Roman"/>
                <w:sz w:val="20"/>
              </w:rPr>
              <w:t>**</w:t>
            </w:r>
            <w:r w:rsidRPr="007E5A2F">
              <w:rPr>
                <w:rStyle w:val="FootnoteReference"/>
                <w:rFonts w:eastAsia="Times New Roman"/>
                <w:sz w:val="20"/>
              </w:rPr>
              <w:footnoteReference w:id="1"/>
            </w:r>
            <w:r w:rsidR="00FB698A" w:rsidRPr="007E5A2F">
              <w:rPr>
                <w:rFonts w:eastAsia="Times New Roman"/>
                <w:sz w:val="20"/>
                <w:vertAlign w:val="superscript"/>
              </w:rPr>
              <w:t>,</w:t>
            </w:r>
            <w:r w:rsidR="00EC0759" w:rsidRPr="007E5A2F">
              <w:rPr>
                <w:rStyle w:val="FootnoteReference"/>
                <w:rFonts w:eastAsia="Times New Roman"/>
                <w:sz w:val="20"/>
              </w:rPr>
              <w:footnoteReference w:id="2"/>
            </w:r>
            <w:r w:rsidR="00FB698A" w:rsidRPr="007E5A2F">
              <w:rPr>
                <w:rFonts w:eastAsia="Times New Roman"/>
                <w:sz w:val="20"/>
                <w:vertAlign w:val="superscript"/>
              </w:rPr>
              <w:t>,</w:t>
            </w:r>
            <w:r w:rsidR="00EC0759" w:rsidRPr="007E5A2F">
              <w:rPr>
                <w:rStyle w:val="FootnoteReference"/>
                <w:rFonts w:eastAsia="Times New Roman"/>
                <w:sz w:val="20"/>
              </w:rPr>
              <w:footnoteReference w:id="3"/>
            </w:r>
          </w:p>
          <w:p w14:paraId="33DA53E4" w14:textId="77777777" w:rsidR="002B17D3" w:rsidRPr="007E5A2F" w:rsidRDefault="002B17D3" w:rsidP="00E123A4">
            <w:pPr>
              <w:pStyle w:val="ListParagraph"/>
              <w:numPr>
                <w:ilvl w:val="1"/>
                <w:numId w:val="10"/>
              </w:numPr>
              <w:rPr>
                <w:sz w:val="20"/>
              </w:rPr>
            </w:pPr>
            <w:r w:rsidRPr="007E5A2F">
              <w:rPr>
                <w:rFonts w:eastAsia="Times New Roman"/>
                <w:sz w:val="20"/>
              </w:rPr>
              <w:t xml:space="preserve">Percentage of beneficiary households possessing minimum list of WASH NFI in their household, following </w:t>
            </w:r>
            <w:r w:rsidRPr="007E5A2F">
              <w:rPr>
                <w:sz w:val="20"/>
              </w:rPr>
              <w:t>agreed standards</w:t>
            </w:r>
            <w:r w:rsidR="005433A9" w:rsidRPr="007E5A2F">
              <w:rPr>
                <w:sz w:val="20"/>
              </w:rPr>
              <w:t>, and with visible signs of use</w:t>
            </w:r>
            <w:r w:rsidRPr="007E5A2F">
              <w:rPr>
                <w:sz w:val="20"/>
              </w:rPr>
              <w:t xml:space="preserve"> *</w:t>
            </w:r>
            <w:r w:rsidR="00956919" w:rsidRPr="007E5A2F">
              <w:rPr>
                <w:sz w:val="20"/>
              </w:rPr>
              <w:t>*</w:t>
            </w:r>
            <w:r w:rsidR="007722A0" w:rsidRPr="007E5A2F">
              <w:rPr>
                <w:rStyle w:val="FootnoteReference"/>
                <w:sz w:val="20"/>
              </w:rPr>
              <w:footnoteReference w:id="4"/>
            </w:r>
          </w:p>
          <w:p w14:paraId="59D11AA8" w14:textId="77777777" w:rsidR="005230B3" w:rsidRPr="007E5A2F" w:rsidRDefault="005230B3" w:rsidP="005230B3">
            <w:pPr>
              <w:pStyle w:val="ListParagraph"/>
              <w:ind w:left="1440"/>
              <w:rPr>
                <w:sz w:val="20"/>
              </w:rPr>
            </w:pPr>
          </w:p>
          <w:p w14:paraId="45F88E26" w14:textId="1BC1A827" w:rsidR="005433A9" w:rsidRPr="007E5A2F" w:rsidRDefault="005433A9" w:rsidP="00E123A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E5A2F">
              <w:rPr>
                <w:sz w:val="20"/>
              </w:rPr>
              <w:t xml:space="preserve">If </w:t>
            </w:r>
            <w:r w:rsidR="00E123A4" w:rsidRPr="007E5A2F">
              <w:rPr>
                <w:sz w:val="20"/>
              </w:rPr>
              <w:t xml:space="preserve">sanitation </w:t>
            </w:r>
            <w:r w:rsidR="00196991" w:rsidRPr="007E5A2F">
              <w:rPr>
                <w:sz w:val="20"/>
              </w:rPr>
              <w:t>related costs are included</w:t>
            </w:r>
            <w:r w:rsidR="00196991" w:rsidRPr="007E5A2F">
              <w:rPr>
                <w:rStyle w:val="FootnoteReference"/>
                <w:sz w:val="20"/>
              </w:rPr>
              <w:footnoteReference w:id="5"/>
            </w:r>
            <w:r w:rsidR="001B0BEC" w:rsidRPr="007E5A2F">
              <w:rPr>
                <w:sz w:val="20"/>
              </w:rPr>
              <w:t xml:space="preserve"> in the transfer value</w:t>
            </w:r>
            <w:r w:rsidRPr="007E5A2F">
              <w:rPr>
                <w:sz w:val="20"/>
              </w:rPr>
              <w:t xml:space="preserve">: </w:t>
            </w:r>
          </w:p>
          <w:p w14:paraId="6B722FF4" w14:textId="77777777" w:rsidR="00E6394D" w:rsidRPr="007E5A2F" w:rsidRDefault="007A7DDF" w:rsidP="00E123A4">
            <w:pPr>
              <w:pStyle w:val="ListParagraph"/>
              <w:numPr>
                <w:ilvl w:val="1"/>
                <w:numId w:val="10"/>
              </w:numPr>
              <w:rPr>
                <w:sz w:val="20"/>
              </w:rPr>
            </w:pPr>
            <w:r w:rsidRPr="007E5A2F">
              <w:rPr>
                <w:rFonts w:eastAsia="Times New Roman"/>
                <w:sz w:val="20"/>
              </w:rPr>
              <w:t>Percent</w:t>
            </w:r>
            <w:r w:rsidR="00FC719D" w:rsidRPr="007E5A2F">
              <w:rPr>
                <w:rFonts w:eastAsia="Times New Roman"/>
                <w:sz w:val="20"/>
              </w:rPr>
              <w:t>age</w:t>
            </w:r>
            <w:r w:rsidR="00E6394D" w:rsidRPr="007E5A2F">
              <w:rPr>
                <w:sz w:val="20"/>
              </w:rPr>
              <w:t xml:space="preserve"> of </w:t>
            </w:r>
            <w:r w:rsidR="00FC719D" w:rsidRPr="007E5A2F">
              <w:rPr>
                <w:sz w:val="20"/>
              </w:rPr>
              <w:t xml:space="preserve">beneficiary households </w:t>
            </w:r>
            <w:r w:rsidR="005433A9" w:rsidRPr="007E5A2F">
              <w:rPr>
                <w:sz w:val="20"/>
              </w:rPr>
              <w:t xml:space="preserve">with </w:t>
            </w:r>
            <w:r w:rsidR="00CC06E8" w:rsidRPr="007E5A2F">
              <w:rPr>
                <w:sz w:val="20"/>
              </w:rPr>
              <w:t xml:space="preserve">adequate access to </w:t>
            </w:r>
            <w:r w:rsidR="00FC719D" w:rsidRPr="007E5A2F">
              <w:rPr>
                <w:sz w:val="20"/>
              </w:rPr>
              <w:t xml:space="preserve">a </w:t>
            </w:r>
            <w:r w:rsidR="00CC06E8" w:rsidRPr="007E5A2F">
              <w:rPr>
                <w:sz w:val="20"/>
              </w:rPr>
              <w:t xml:space="preserve">toilet </w:t>
            </w:r>
            <w:r w:rsidR="00FC719D" w:rsidRPr="007E5A2F">
              <w:rPr>
                <w:sz w:val="20"/>
              </w:rPr>
              <w:t>at agreed standards</w:t>
            </w:r>
            <w:r w:rsidR="0085602C" w:rsidRPr="007E5A2F">
              <w:rPr>
                <w:sz w:val="20"/>
              </w:rPr>
              <w:t xml:space="preserve"> </w:t>
            </w:r>
            <w:r w:rsidR="00E6394D" w:rsidRPr="007E5A2F">
              <w:rPr>
                <w:sz w:val="20"/>
              </w:rPr>
              <w:t>**</w:t>
            </w:r>
            <w:r w:rsidR="00FB698A" w:rsidRPr="007E5A2F">
              <w:rPr>
                <w:sz w:val="20"/>
                <w:vertAlign w:val="superscript"/>
              </w:rPr>
              <w:t>1</w:t>
            </w:r>
            <w:r w:rsidR="00FB698A" w:rsidRPr="007E5A2F">
              <w:rPr>
                <w:rFonts w:eastAsia="Times New Roman"/>
                <w:sz w:val="20"/>
                <w:vertAlign w:val="superscript"/>
              </w:rPr>
              <w:t>,2</w:t>
            </w:r>
            <w:r w:rsidR="003607D0" w:rsidRPr="007E5A2F">
              <w:rPr>
                <w:sz w:val="20"/>
                <w:vertAlign w:val="superscript"/>
              </w:rPr>
              <w:t>,3</w:t>
            </w:r>
          </w:p>
          <w:p w14:paraId="16A68FEA" w14:textId="77777777" w:rsidR="005433A9" w:rsidRPr="007E5A2F" w:rsidRDefault="005433A9" w:rsidP="00E123A4">
            <w:pPr>
              <w:pStyle w:val="ListParagraph"/>
              <w:numPr>
                <w:ilvl w:val="1"/>
                <w:numId w:val="10"/>
              </w:numPr>
              <w:rPr>
                <w:sz w:val="20"/>
              </w:rPr>
            </w:pPr>
            <w:r w:rsidRPr="007E5A2F">
              <w:rPr>
                <w:rFonts w:eastAsia="Times New Roman"/>
                <w:sz w:val="20"/>
              </w:rPr>
              <w:t>Percentage</w:t>
            </w:r>
            <w:r w:rsidRPr="007E5A2F">
              <w:rPr>
                <w:sz w:val="20"/>
              </w:rPr>
              <w:t xml:space="preserve"> of men, women, boys and girls who last defecated in a toilet (or whose </w:t>
            </w:r>
            <w:proofErr w:type="spellStart"/>
            <w:r w:rsidRPr="007E5A2F">
              <w:rPr>
                <w:sz w:val="20"/>
              </w:rPr>
              <w:t>faeces</w:t>
            </w:r>
            <w:proofErr w:type="spellEnd"/>
            <w:r w:rsidRPr="007E5A2F">
              <w:rPr>
                <w:sz w:val="20"/>
              </w:rPr>
              <w:t xml:space="preserve"> was last disposed of in a safe </w:t>
            </w:r>
            <w:proofErr w:type="gramStart"/>
            <w:r w:rsidRPr="007E5A2F">
              <w:rPr>
                <w:sz w:val="20"/>
              </w:rPr>
              <w:t>manner)</w:t>
            </w:r>
            <w:r w:rsidRPr="007E5A2F">
              <w:rPr>
                <w:rFonts w:eastAsia="Times New Roman"/>
                <w:sz w:val="20"/>
              </w:rPr>
              <w:t>*</w:t>
            </w:r>
            <w:proofErr w:type="gramEnd"/>
            <w:r w:rsidRPr="007E5A2F">
              <w:rPr>
                <w:rStyle w:val="FootnoteReference"/>
                <w:rFonts w:eastAsia="Times New Roman"/>
                <w:sz w:val="20"/>
              </w:rPr>
              <w:footnoteReference w:id="6"/>
            </w:r>
            <w:r w:rsidR="003607D0" w:rsidRPr="007E5A2F">
              <w:rPr>
                <w:rFonts w:eastAsia="Times New Roman"/>
                <w:sz w:val="20"/>
                <w:vertAlign w:val="superscript"/>
              </w:rPr>
              <w:t>,</w:t>
            </w:r>
            <w:r w:rsidR="002B5A0B" w:rsidRPr="007E5A2F">
              <w:rPr>
                <w:rStyle w:val="FootnoteReference"/>
                <w:rFonts w:eastAsia="Times New Roman"/>
                <w:sz w:val="20"/>
              </w:rPr>
              <w:footnoteReference w:id="7"/>
            </w:r>
          </w:p>
          <w:p w14:paraId="0EEBC99F" w14:textId="77777777" w:rsidR="005230B3" w:rsidRPr="007E5A2F" w:rsidRDefault="005230B3" w:rsidP="005230B3">
            <w:pPr>
              <w:pStyle w:val="ListParagraph"/>
              <w:ind w:left="1440"/>
              <w:rPr>
                <w:sz w:val="20"/>
              </w:rPr>
            </w:pPr>
          </w:p>
          <w:p w14:paraId="06A2826D" w14:textId="52673B43" w:rsidR="005433A9" w:rsidRPr="007E5A2F" w:rsidRDefault="005433A9" w:rsidP="00E123A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E5A2F">
              <w:rPr>
                <w:sz w:val="20"/>
              </w:rPr>
              <w:t xml:space="preserve">If </w:t>
            </w:r>
            <w:r w:rsidR="00E123A4" w:rsidRPr="007E5A2F">
              <w:rPr>
                <w:sz w:val="20"/>
              </w:rPr>
              <w:t xml:space="preserve">hygiene </w:t>
            </w:r>
            <w:r w:rsidR="00196991" w:rsidRPr="007E5A2F">
              <w:rPr>
                <w:sz w:val="20"/>
              </w:rPr>
              <w:t>related costs are included</w:t>
            </w:r>
            <w:r w:rsidR="001B0BEC" w:rsidRPr="007E5A2F">
              <w:rPr>
                <w:sz w:val="20"/>
              </w:rPr>
              <w:t xml:space="preserve"> in the transfer value</w:t>
            </w:r>
            <w:r w:rsidR="00E123A4" w:rsidRPr="007E5A2F">
              <w:rPr>
                <w:sz w:val="20"/>
              </w:rPr>
              <w:t>:</w:t>
            </w:r>
            <w:r w:rsidRPr="007E5A2F">
              <w:rPr>
                <w:sz w:val="20"/>
              </w:rPr>
              <w:t xml:space="preserve">  </w:t>
            </w:r>
          </w:p>
          <w:p w14:paraId="237242C7" w14:textId="77777777" w:rsidR="005433A9" w:rsidRPr="007E5A2F" w:rsidRDefault="005433A9" w:rsidP="00E123A4">
            <w:pPr>
              <w:pStyle w:val="ListParagraph"/>
              <w:numPr>
                <w:ilvl w:val="1"/>
                <w:numId w:val="10"/>
              </w:numPr>
              <w:rPr>
                <w:rFonts w:eastAsia="Times New Roman"/>
                <w:sz w:val="20"/>
              </w:rPr>
            </w:pPr>
            <w:r w:rsidRPr="007E5A2F">
              <w:rPr>
                <w:rFonts w:eastAsia="Times New Roman"/>
                <w:sz w:val="20"/>
              </w:rPr>
              <w:t>Percentage of beneficiary households possessing minimum list of WASH NFI in their household, following agreed standards, and with visible signs of use *</w:t>
            </w:r>
            <w:r w:rsidR="00956919" w:rsidRPr="007E5A2F">
              <w:rPr>
                <w:rFonts w:eastAsia="Times New Roman"/>
                <w:sz w:val="20"/>
              </w:rPr>
              <w:t>*</w:t>
            </w:r>
            <w:r w:rsidR="003607D0" w:rsidRPr="007E5A2F">
              <w:rPr>
                <w:rFonts w:eastAsia="Times New Roman"/>
                <w:sz w:val="20"/>
                <w:vertAlign w:val="superscript"/>
              </w:rPr>
              <w:t>1</w:t>
            </w:r>
          </w:p>
          <w:p w14:paraId="71788217" w14:textId="77777777" w:rsidR="000F4AC1" w:rsidRPr="007E5A2F" w:rsidRDefault="00FC719D" w:rsidP="00E123A4">
            <w:pPr>
              <w:pStyle w:val="ListParagraph"/>
              <w:numPr>
                <w:ilvl w:val="1"/>
                <w:numId w:val="10"/>
              </w:numPr>
              <w:rPr>
                <w:rFonts w:eastAsia="Times New Roman"/>
                <w:sz w:val="20"/>
              </w:rPr>
            </w:pPr>
            <w:r w:rsidRPr="007E5A2F">
              <w:rPr>
                <w:rFonts w:eastAsia="Times New Roman"/>
                <w:sz w:val="20"/>
              </w:rPr>
              <w:t xml:space="preserve">Percentage of beneficiary households with a </w:t>
            </w:r>
            <w:r w:rsidR="00E6394D" w:rsidRPr="007E5A2F">
              <w:rPr>
                <w:rFonts w:eastAsia="Times New Roman"/>
                <w:sz w:val="20"/>
              </w:rPr>
              <w:t xml:space="preserve">handwashing </w:t>
            </w:r>
            <w:r w:rsidR="00A20D38" w:rsidRPr="007E5A2F">
              <w:rPr>
                <w:rFonts w:eastAsia="Times New Roman"/>
                <w:sz w:val="20"/>
              </w:rPr>
              <w:t>place</w:t>
            </w:r>
            <w:r w:rsidR="00956919" w:rsidRPr="007E5A2F">
              <w:rPr>
                <w:rStyle w:val="FootnoteReference"/>
                <w:rFonts w:eastAsia="Times New Roman"/>
                <w:sz w:val="20"/>
              </w:rPr>
              <w:footnoteReference w:id="8"/>
            </w:r>
            <w:r w:rsidR="00A20D38" w:rsidRPr="007E5A2F">
              <w:rPr>
                <w:rFonts w:eastAsia="Times New Roman"/>
                <w:sz w:val="20"/>
              </w:rPr>
              <w:t xml:space="preserve"> </w:t>
            </w:r>
            <w:r w:rsidR="00956919" w:rsidRPr="007E5A2F">
              <w:rPr>
                <w:rFonts w:eastAsia="Times New Roman"/>
                <w:sz w:val="20"/>
              </w:rPr>
              <w:t xml:space="preserve">identified </w:t>
            </w:r>
            <w:r w:rsidRPr="007E5A2F">
              <w:rPr>
                <w:rFonts w:eastAsia="Times New Roman"/>
                <w:sz w:val="20"/>
              </w:rPr>
              <w:t>including soap and water in their household, with visible sign of use</w:t>
            </w:r>
            <w:r w:rsidR="0085602C" w:rsidRPr="007E5A2F">
              <w:rPr>
                <w:rFonts w:eastAsia="Times New Roman"/>
                <w:sz w:val="20"/>
              </w:rPr>
              <w:t>.</w:t>
            </w:r>
            <w:r w:rsidRPr="007E5A2F">
              <w:rPr>
                <w:rFonts w:eastAsia="Times New Roman"/>
                <w:sz w:val="20"/>
              </w:rPr>
              <w:t xml:space="preserve"> </w:t>
            </w:r>
            <w:r w:rsidR="00B4558A" w:rsidRPr="007E5A2F">
              <w:rPr>
                <w:rFonts w:eastAsia="Times New Roman"/>
                <w:sz w:val="20"/>
              </w:rPr>
              <w:t>*</w:t>
            </w:r>
            <w:r w:rsidR="00844E11" w:rsidRPr="007E5A2F">
              <w:rPr>
                <w:rFonts w:eastAsia="Times New Roman"/>
                <w:sz w:val="20"/>
              </w:rPr>
              <w:t>*</w:t>
            </w:r>
          </w:p>
          <w:p w14:paraId="2EDC71C2" w14:textId="338E24BB" w:rsidR="00E269C3" w:rsidRPr="007E5A2F" w:rsidRDefault="00E77A24" w:rsidP="00E269C3">
            <w:pPr>
              <w:pStyle w:val="ListParagraph"/>
              <w:numPr>
                <w:ilvl w:val="1"/>
                <w:numId w:val="10"/>
              </w:numPr>
            </w:pPr>
            <w:r w:rsidRPr="007E5A2F">
              <w:rPr>
                <w:rFonts w:eastAsia="Times New Roman"/>
                <w:sz w:val="20"/>
              </w:rPr>
              <w:lastRenderedPageBreak/>
              <w:t>Percentage</w:t>
            </w:r>
            <w:r w:rsidRPr="007E5A2F">
              <w:rPr>
                <w:sz w:val="20"/>
              </w:rPr>
              <w:t xml:space="preserve"> of beneficiar</w:t>
            </w:r>
            <w:r w:rsidR="000F4AC1" w:rsidRPr="007E5A2F">
              <w:rPr>
                <w:sz w:val="20"/>
              </w:rPr>
              <w:t xml:space="preserve">y men, women, boys and girls </w:t>
            </w:r>
            <w:r w:rsidRPr="007E5A2F">
              <w:rPr>
                <w:sz w:val="20"/>
              </w:rPr>
              <w:t>reporting washing hand</w:t>
            </w:r>
            <w:r w:rsidR="000F4AC1" w:rsidRPr="007E5A2F">
              <w:rPr>
                <w:sz w:val="20"/>
              </w:rPr>
              <w:t>s</w:t>
            </w:r>
            <w:r w:rsidRPr="007E5A2F">
              <w:rPr>
                <w:sz w:val="20"/>
              </w:rPr>
              <w:t xml:space="preserve"> with soap </w:t>
            </w:r>
            <w:r w:rsidR="002B5A0B" w:rsidRPr="007E5A2F">
              <w:rPr>
                <w:sz w:val="20"/>
              </w:rPr>
              <w:t>at critical times</w:t>
            </w:r>
            <w:r w:rsidR="00956919" w:rsidRPr="007E5A2F">
              <w:rPr>
                <w:rStyle w:val="FootnoteReference"/>
                <w:sz w:val="20"/>
              </w:rPr>
              <w:footnoteReference w:id="9"/>
            </w:r>
            <w:r w:rsidR="003607D0" w:rsidRPr="007E5A2F">
              <w:rPr>
                <w:sz w:val="20"/>
                <w:vertAlign w:val="superscript"/>
              </w:rPr>
              <w:t>,</w:t>
            </w:r>
            <w:r w:rsidR="002B5A0B" w:rsidRPr="007E5A2F">
              <w:rPr>
                <w:rStyle w:val="FootnoteReference"/>
                <w:sz w:val="20"/>
              </w:rPr>
              <w:footnoteReference w:id="10"/>
            </w:r>
            <w:r w:rsidR="00021B52" w:rsidRPr="007E5A2F">
              <w:rPr>
                <w:sz w:val="20"/>
                <w:vertAlign w:val="superscript"/>
              </w:rPr>
              <w:t>,</w:t>
            </w:r>
            <w:r w:rsidR="00F72B84" w:rsidRPr="007E5A2F">
              <w:rPr>
                <w:rStyle w:val="FootnoteReference"/>
                <w:sz w:val="20"/>
              </w:rPr>
              <w:footnoteReference w:id="11"/>
            </w:r>
            <w:r w:rsidR="0085602C" w:rsidRPr="007E5A2F">
              <w:rPr>
                <w:sz w:val="20"/>
              </w:rPr>
              <w:t xml:space="preserve">. </w:t>
            </w:r>
            <w:r w:rsidRPr="007E5A2F">
              <w:rPr>
                <w:sz w:val="20"/>
              </w:rPr>
              <w:t>*</w:t>
            </w:r>
          </w:p>
          <w:p w14:paraId="1857DCED" w14:textId="77777777" w:rsidR="00E269C3" w:rsidRPr="007E5A2F" w:rsidRDefault="00E269C3" w:rsidP="00E269C3"/>
          <w:p w14:paraId="2C9881B0" w14:textId="0E978E3E" w:rsidR="00240777" w:rsidRPr="007E5A2F" w:rsidRDefault="00E269C3" w:rsidP="00E269C3">
            <w:pPr>
              <w:rPr>
                <w:sz w:val="20"/>
                <w:szCs w:val="20"/>
                <w:u w:val="single"/>
              </w:rPr>
            </w:pPr>
            <w:r w:rsidRPr="007E5A2F">
              <w:rPr>
                <w:sz w:val="20"/>
                <w:szCs w:val="20"/>
                <w:u w:val="single"/>
              </w:rPr>
              <w:t>Note on indicator</w:t>
            </w:r>
            <w:r w:rsidR="00F72B84" w:rsidRPr="007E5A2F">
              <w:rPr>
                <w:sz w:val="20"/>
                <w:szCs w:val="20"/>
                <w:u w:val="single"/>
              </w:rPr>
              <w:t>s’</w:t>
            </w:r>
            <w:r w:rsidRPr="007E5A2F">
              <w:rPr>
                <w:sz w:val="20"/>
                <w:szCs w:val="20"/>
                <w:u w:val="single"/>
              </w:rPr>
              <w:t xml:space="preserve"> measure</w:t>
            </w:r>
            <w:r w:rsidR="00F72B84" w:rsidRPr="007E5A2F">
              <w:rPr>
                <w:sz w:val="20"/>
                <w:szCs w:val="20"/>
                <w:u w:val="single"/>
              </w:rPr>
              <w:t>ment</w:t>
            </w:r>
          </w:p>
          <w:p w14:paraId="6738938C" w14:textId="77777777" w:rsidR="00021B52" w:rsidRPr="007E5A2F" w:rsidRDefault="00021B52" w:rsidP="00E269C3">
            <w:pPr>
              <w:rPr>
                <w:sz w:val="20"/>
                <w:szCs w:val="20"/>
                <w:u w:val="single"/>
              </w:rPr>
            </w:pPr>
          </w:p>
          <w:p w14:paraId="6F8B0AB2" w14:textId="21CF9A19" w:rsidR="00E269C3" w:rsidRPr="007E5A2F" w:rsidRDefault="00F72B84" w:rsidP="00E269C3">
            <w:pPr>
              <w:rPr>
                <w:sz w:val="20"/>
                <w:szCs w:val="20"/>
              </w:rPr>
            </w:pPr>
            <w:r w:rsidRPr="007E5A2F">
              <w:rPr>
                <w:sz w:val="20"/>
                <w:szCs w:val="20"/>
              </w:rPr>
              <w:t xml:space="preserve">Above-listed </w:t>
            </w:r>
            <w:r w:rsidR="00240777" w:rsidRPr="007E5A2F">
              <w:rPr>
                <w:sz w:val="20"/>
                <w:szCs w:val="20"/>
              </w:rPr>
              <w:t xml:space="preserve">WASH outcome indicators can only be </w:t>
            </w:r>
            <w:r w:rsidRPr="007E5A2F">
              <w:rPr>
                <w:sz w:val="20"/>
                <w:szCs w:val="20"/>
              </w:rPr>
              <w:t xml:space="preserve">measured </w:t>
            </w:r>
            <w:r w:rsidR="00240777" w:rsidRPr="007E5A2F">
              <w:rPr>
                <w:sz w:val="20"/>
                <w:szCs w:val="20"/>
              </w:rPr>
              <w:t>using a mix of monitoring tools, including:</w:t>
            </w:r>
          </w:p>
          <w:p w14:paraId="234FC4F5" w14:textId="2A24EE5A" w:rsidR="00240777" w:rsidRPr="007E5A2F" w:rsidRDefault="006C6D23" w:rsidP="00021B5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E5A2F">
              <w:rPr>
                <w:sz w:val="20"/>
                <w:szCs w:val="20"/>
              </w:rPr>
              <w:t xml:space="preserve">Usual </w:t>
            </w:r>
            <w:r w:rsidR="00240777" w:rsidRPr="007E5A2F">
              <w:rPr>
                <w:sz w:val="20"/>
                <w:szCs w:val="20"/>
              </w:rPr>
              <w:t xml:space="preserve">MPC Post Distribution Monitoring questionnaires, where questions on recent WASH related expenditures </w:t>
            </w:r>
            <w:r w:rsidRPr="007E5A2F">
              <w:rPr>
                <w:sz w:val="20"/>
                <w:szCs w:val="20"/>
              </w:rPr>
              <w:t xml:space="preserve">are </w:t>
            </w:r>
            <w:r w:rsidR="00240777" w:rsidRPr="007E5A2F">
              <w:rPr>
                <w:sz w:val="20"/>
                <w:szCs w:val="20"/>
              </w:rPr>
              <w:t>included</w:t>
            </w:r>
            <w:r w:rsidR="00021B52" w:rsidRPr="007E5A2F">
              <w:rPr>
                <w:sz w:val="20"/>
                <w:szCs w:val="20"/>
              </w:rPr>
              <w:t>;</w:t>
            </w:r>
          </w:p>
          <w:p w14:paraId="65CBCABD" w14:textId="65D8B8AD" w:rsidR="00240777" w:rsidRPr="007E5A2F" w:rsidRDefault="006C6D23" w:rsidP="00021B5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E5A2F">
              <w:rPr>
                <w:sz w:val="20"/>
                <w:szCs w:val="20"/>
              </w:rPr>
              <w:t>KAP (</w:t>
            </w:r>
            <w:r w:rsidR="00F72B84" w:rsidRPr="007E5A2F">
              <w:rPr>
                <w:sz w:val="20"/>
                <w:szCs w:val="20"/>
              </w:rPr>
              <w:t>Knowledge Attitude Practice</w:t>
            </w:r>
            <w:r w:rsidRPr="007E5A2F">
              <w:rPr>
                <w:sz w:val="20"/>
                <w:szCs w:val="20"/>
              </w:rPr>
              <w:t>)</w:t>
            </w:r>
            <w:r w:rsidR="00F72B84" w:rsidRPr="007E5A2F">
              <w:rPr>
                <w:sz w:val="20"/>
                <w:szCs w:val="20"/>
              </w:rPr>
              <w:t xml:space="preserve"> </w:t>
            </w:r>
            <w:r w:rsidRPr="007E5A2F">
              <w:rPr>
                <w:sz w:val="20"/>
                <w:szCs w:val="20"/>
              </w:rPr>
              <w:t>questionnaires</w:t>
            </w:r>
            <w:r w:rsidR="00021B52" w:rsidRPr="007E5A2F">
              <w:rPr>
                <w:sz w:val="20"/>
                <w:szCs w:val="20"/>
              </w:rPr>
              <w:t>;</w:t>
            </w:r>
          </w:p>
          <w:p w14:paraId="21550621" w14:textId="4631B7B6" w:rsidR="00240777" w:rsidRPr="007E5A2F" w:rsidRDefault="00240777" w:rsidP="00021B5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E5A2F">
              <w:rPr>
                <w:sz w:val="20"/>
                <w:szCs w:val="20"/>
              </w:rPr>
              <w:t xml:space="preserve">Physical check of </w:t>
            </w:r>
            <w:r w:rsidR="006C6D23" w:rsidRPr="007E5A2F">
              <w:rPr>
                <w:sz w:val="20"/>
                <w:szCs w:val="20"/>
              </w:rPr>
              <w:t xml:space="preserve">household level </w:t>
            </w:r>
            <w:r w:rsidRPr="007E5A2F">
              <w:rPr>
                <w:sz w:val="20"/>
                <w:szCs w:val="20"/>
              </w:rPr>
              <w:t xml:space="preserve">WASH NFI or infrastructures (water recipient, handwashing place, </w:t>
            </w:r>
            <w:r w:rsidR="006C6D23" w:rsidRPr="007E5A2F">
              <w:rPr>
                <w:sz w:val="20"/>
                <w:szCs w:val="20"/>
              </w:rPr>
              <w:t xml:space="preserve">household </w:t>
            </w:r>
            <w:r w:rsidRPr="007E5A2F">
              <w:rPr>
                <w:sz w:val="20"/>
                <w:szCs w:val="20"/>
              </w:rPr>
              <w:t>latrine)</w:t>
            </w:r>
            <w:r w:rsidR="00021B52" w:rsidRPr="007E5A2F">
              <w:rPr>
                <w:sz w:val="20"/>
                <w:szCs w:val="20"/>
              </w:rPr>
              <w:t>;</w:t>
            </w:r>
          </w:p>
          <w:p w14:paraId="66E1829C" w14:textId="7C61AC69" w:rsidR="00240777" w:rsidRPr="007E5A2F" w:rsidRDefault="00240777" w:rsidP="00021B5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E5A2F">
              <w:rPr>
                <w:sz w:val="20"/>
                <w:szCs w:val="20"/>
              </w:rPr>
              <w:t xml:space="preserve">Physical check of community </w:t>
            </w:r>
            <w:r w:rsidR="006C6D23" w:rsidRPr="007E5A2F">
              <w:rPr>
                <w:sz w:val="20"/>
                <w:szCs w:val="20"/>
              </w:rPr>
              <w:t xml:space="preserve">level </w:t>
            </w:r>
            <w:r w:rsidRPr="007E5A2F">
              <w:rPr>
                <w:sz w:val="20"/>
                <w:szCs w:val="20"/>
              </w:rPr>
              <w:t>WASH infrastructure (</w:t>
            </w:r>
            <w:r w:rsidR="006C6D23" w:rsidRPr="007E5A2F">
              <w:rPr>
                <w:sz w:val="20"/>
                <w:szCs w:val="20"/>
              </w:rPr>
              <w:t xml:space="preserve">water point, </w:t>
            </w:r>
            <w:r w:rsidRPr="007E5A2F">
              <w:rPr>
                <w:sz w:val="20"/>
                <w:szCs w:val="20"/>
              </w:rPr>
              <w:t xml:space="preserve">water </w:t>
            </w:r>
            <w:r w:rsidR="006C6D23" w:rsidRPr="007E5A2F">
              <w:rPr>
                <w:sz w:val="20"/>
                <w:szCs w:val="20"/>
              </w:rPr>
              <w:t>intake</w:t>
            </w:r>
            <w:r w:rsidRPr="007E5A2F">
              <w:rPr>
                <w:sz w:val="20"/>
                <w:szCs w:val="20"/>
              </w:rPr>
              <w:t xml:space="preserve">, </w:t>
            </w:r>
            <w:r w:rsidR="006C6D23" w:rsidRPr="007E5A2F">
              <w:rPr>
                <w:sz w:val="20"/>
                <w:szCs w:val="20"/>
              </w:rPr>
              <w:t xml:space="preserve">water treatment plant, </w:t>
            </w:r>
            <w:r w:rsidRPr="007E5A2F">
              <w:rPr>
                <w:sz w:val="20"/>
                <w:szCs w:val="20"/>
              </w:rPr>
              <w:t>public latrine)</w:t>
            </w:r>
            <w:r w:rsidR="00021B52" w:rsidRPr="007E5A2F">
              <w:rPr>
                <w:sz w:val="20"/>
                <w:szCs w:val="20"/>
              </w:rPr>
              <w:t>;</w:t>
            </w:r>
          </w:p>
          <w:p w14:paraId="6A795379" w14:textId="4A203C8B" w:rsidR="00240777" w:rsidRPr="007E5A2F" w:rsidRDefault="00240777" w:rsidP="00021B5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E5A2F">
              <w:rPr>
                <w:sz w:val="20"/>
                <w:szCs w:val="20"/>
              </w:rPr>
              <w:t>Focus group discussion</w:t>
            </w:r>
            <w:r w:rsidR="006C6D23" w:rsidRPr="007E5A2F">
              <w:rPr>
                <w:sz w:val="20"/>
                <w:szCs w:val="20"/>
              </w:rPr>
              <w:t xml:space="preserve"> separated by gender and age</w:t>
            </w:r>
            <w:r w:rsidR="00021B52" w:rsidRPr="007E5A2F">
              <w:rPr>
                <w:sz w:val="20"/>
                <w:szCs w:val="20"/>
              </w:rPr>
              <w:t>.</w:t>
            </w:r>
          </w:p>
          <w:p w14:paraId="69E1D407" w14:textId="77777777" w:rsidR="00240777" w:rsidRPr="007E5A2F" w:rsidRDefault="00240777" w:rsidP="00E269C3">
            <w:pPr>
              <w:rPr>
                <w:sz w:val="20"/>
                <w:szCs w:val="20"/>
              </w:rPr>
            </w:pPr>
          </w:p>
          <w:p w14:paraId="3723963B" w14:textId="5F927450" w:rsidR="00E269C3" w:rsidRPr="007E5A2F" w:rsidRDefault="00240777" w:rsidP="00E269C3">
            <w:pPr>
              <w:rPr>
                <w:sz w:val="20"/>
                <w:szCs w:val="20"/>
              </w:rPr>
            </w:pPr>
            <w:r w:rsidRPr="007E5A2F">
              <w:rPr>
                <w:sz w:val="20"/>
                <w:szCs w:val="20"/>
              </w:rPr>
              <w:t>Comparison between WASH</w:t>
            </w:r>
            <w:r w:rsidR="006C6D23" w:rsidRPr="007E5A2F">
              <w:rPr>
                <w:sz w:val="20"/>
                <w:szCs w:val="20"/>
              </w:rPr>
              <w:t>-</w:t>
            </w:r>
            <w:r w:rsidRPr="007E5A2F">
              <w:rPr>
                <w:sz w:val="20"/>
                <w:szCs w:val="20"/>
              </w:rPr>
              <w:t xml:space="preserve">related </w:t>
            </w:r>
            <w:r w:rsidR="006C6D23" w:rsidRPr="007E5A2F">
              <w:rPr>
                <w:sz w:val="20"/>
                <w:szCs w:val="20"/>
              </w:rPr>
              <w:t>expenditure</w:t>
            </w:r>
            <w:r w:rsidR="00021B52" w:rsidRPr="007E5A2F">
              <w:rPr>
                <w:sz w:val="20"/>
                <w:szCs w:val="20"/>
              </w:rPr>
              <w:t>s</w:t>
            </w:r>
            <w:r w:rsidR="006C6D23" w:rsidRPr="007E5A2F">
              <w:rPr>
                <w:sz w:val="20"/>
                <w:szCs w:val="20"/>
              </w:rPr>
              <w:t xml:space="preserve"> </w:t>
            </w:r>
            <w:r w:rsidRPr="007E5A2F">
              <w:rPr>
                <w:sz w:val="20"/>
                <w:szCs w:val="20"/>
              </w:rPr>
              <w:t>and achievement</w:t>
            </w:r>
            <w:r w:rsidR="00021B52" w:rsidRPr="007E5A2F">
              <w:rPr>
                <w:sz w:val="20"/>
                <w:szCs w:val="20"/>
              </w:rPr>
              <w:t>s</w:t>
            </w:r>
            <w:r w:rsidRPr="007E5A2F">
              <w:rPr>
                <w:sz w:val="20"/>
                <w:szCs w:val="20"/>
              </w:rPr>
              <w:t xml:space="preserve"> of WASH</w:t>
            </w:r>
            <w:r w:rsidR="006C6D23" w:rsidRPr="007E5A2F">
              <w:rPr>
                <w:sz w:val="20"/>
                <w:szCs w:val="20"/>
              </w:rPr>
              <w:t>-</w:t>
            </w:r>
            <w:r w:rsidRPr="007E5A2F">
              <w:rPr>
                <w:sz w:val="20"/>
                <w:szCs w:val="20"/>
              </w:rPr>
              <w:t>related standard</w:t>
            </w:r>
            <w:r w:rsidR="006C6D23" w:rsidRPr="007E5A2F">
              <w:rPr>
                <w:sz w:val="20"/>
                <w:szCs w:val="20"/>
              </w:rPr>
              <w:t>s</w:t>
            </w:r>
            <w:r w:rsidRPr="007E5A2F">
              <w:rPr>
                <w:sz w:val="20"/>
                <w:szCs w:val="20"/>
              </w:rPr>
              <w:t xml:space="preserve"> can give some indications on </w:t>
            </w:r>
            <w:r w:rsidR="00021B52" w:rsidRPr="007E5A2F">
              <w:rPr>
                <w:sz w:val="20"/>
                <w:szCs w:val="20"/>
              </w:rPr>
              <w:t xml:space="preserve">the </w:t>
            </w:r>
            <w:r w:rsidR="007E5A2F" w:rsidRPr="007E5A2F">
              <w:rPr>
                <w:sz w:val="20"/>
                <w:szCs w:val="20"/>
              </w:rPr>
              <w:t>immediate effect</w:t>
            </w:r>
            <w:r w:rsidR="00021B52" w:rsidRPr="007E5A2F">
              <w:rPr>
                <w:sz w:val="20"/>
                <w:szCs w:val="20"/>
              </w:rPr>
              <w:t xml:space="preserve"> of cash transfers</w:t>
            </w:r>
            <w:r w:rsidRPr="007E5A2F">
              <w:rPr>
                <w:sz w:val="20"/>
                <w:szCs w:val="20"/>
              </w:rPr>
              <w:t xml:space="preserve">, but it </w:t>
            </w:r>
            <w:r w:rsidR="00E269C3" w:rsidRPr="007E5A2F">
              <w:rPr>
                <w:sz w:val="20"/>
                <w:szCs w:val="20"/>
              </w:rPr>
              <w:t xml:space="preserve">will be </w:t>
            </w:r>
            <w:r w:rsidRPr="007E5A2F">
              <w:rPr>
                <w:sz w:val="20"/>
                <w:szCs w:val="20"/>
              </w:rPr>
              <w:t xml:space="preserve">often </w:t>
            </w:r>
            <w:r w:rsidR="00E269C3" w:rsidRPr="007E5A2F">
              <w:rPr>
                <w:sz w:val="20"/>
                <w:szCs w:val="20"/>
              </w:rPr>
              <w:t xml:space="preserve">difficult to measure </w:t>
            </w:r>
            <w:r w:rsidRPr="007E5A2F">
              <w:rPr>
                <w:sz w:val="20"/>
                <w:szCs w:val="20"/>
              </w:rPr>
              <w:t xml:space="preserve">precisely </w:t>
            </w:r>
            <w:r w:rsidR="00021B52" w:rsidRPr="007E5A2F">
              <w:rPr>
                <w:sz w:val="20"/>
                <w:szCs w:val="20"/>
              </w:rPr>
              <w:t>to</w:t>
            </w:r>
            <w:r w:rsidR="00E269C3" w:rsidRPr="007E5A2F">
              <w:rPr>
                <w:sz w:val="20"/>
                <w:szCs w:val="20"/>
              </w:rPr>
              <w:t xml:space="preserve"> which extend the achievement of WASH outcome</w:t>
            </w:r>
            <w:r w:rsidR="00021B52" w:rsidRPr="007E5A2F">
              <w:rPr>
                <w:sz w:val="20"/>
                <w:szCs w:val="20"/>
              </w:rPr>
              <w:t>s</w:t>
            </w:r>
            <w:r w:rsidR="00E269C3" w:rsidRPr="007E5A2F">
              <w:rPr>
                <w:sz w:val="20"/>
                <w:szCs w:val="20"/>
              </w:rPr>
              <w:t xml:space="preserve"> </w:t>
            </w:r>
            <w:r w:rsidR="00021B52" w:rsidRPr="007E5A2F">
              <w:rPr>
                <w:sz w:val="20"/>
                <w:szCs w:val="20"/>
              </w:rPr>
              <w:t>are</w:t>
            </w:r>
            <w:r w:rsidR="00E269C3" w:rsidRPr="007E5A2F">
              <w:rPr>
                <w:sz w:val="20"/>
                <w:szCs w:val="20"/>
              </w:rPr>
              <w:t xml:space="preserve"> related to the </w:t>
            </w:r>
            <w:r w:rsidR="00021B52" w:rsidRPr="007E5A2F">
              <w:rPr>
                <w:sz w:val="20"/>
                <w:szCs w:val="20"/>
              </w:rPr>
              <w:t xml:space="preserve">cash transfers </w:t>
            </w:r>
            <w:r w:rsidR="00E269C3" w:rsidRPr="007E5A2F">
              <w:rPr>
                <w:sz w:val="20"/>
                <w:szCs w:val="20"/>
              </w:rPr>
              <w:t>only</w:t>
            </w:r>
            <w:r w:rsidR="00021B52" w:rsidRPr="007E5A2F">
              <w:rPr>
                <w:rStyle w:val="FootnoteReference"/>
                <w:sz w:val="20"/>
                <w:szCs w:val="20"/>
              </w:rPr>
              <w:footnoteReference w:id="12"/>
            </w:r>
            <w:r w:rsidR="00021B52" w:rsidRPr="007E5A2F">
              <w:rPr>
                <w:sz w:val="20"/>
                <w:szCs w:val="20"/>
              </w:rPr>
              <w:t>.</w:t>
            </w:r>
          </w:p>
        </w:tc>
      </w:tr>
    </w:tbl>
    <w:p w14:paraId="22F9389B" w14:textId="77777777" w:rsidR="00D82147" w:rsidRPr="007E5A2F" w:rsidRDefault="00D82147">
      <w:pPr>
        <w:spacing w:after="0" w:line="240" w:lineRule="auto"/>
      </w:pPr>
    </w:p>
    <w:p w14:paraId="4DFD5FDC" w14:textId="77777777" w:rsidR="00D82147" w:rsidRPr="007E5A2F" w:rsidRDefault="00D82147">
      <w:pPr>
        <w:spacing w:after="0" w:line="240" w:lineRule="auto"/>
      </w:pPr>
    </w:p>
    <w:tbl>
      <w:tblPr>
        <w:tblStyle w:val="a2"/>
        <w:tblW w:w="93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5A2F" w:rsidRPr="007E5A2F" w14:paraId="270CA717" w14:textId="77777777" w:rsidTr="00E6394D">
        <w:tc>
          <w:tcPr>
            <w:tcW w:w="9360" w:type="dxa"/>
            <w:shd w:val="clear" w:color="auto" w:fill="D9D9D9"/>
          </w:tcPr>
          <w:p w14:paraId="0C5354B0" w14:textId="77777777" w:rsidR="00D82147" w:rsidRPr="007E5A2F" w:rsidRDefault="00973D2A">
            <w:pPr>
              <w:spacing w:after="0" w:line="240" w:lineRule="auto"/>
              <w:rPr>
                <w:sz w:val="24"/>
                <w:szCs w:val="24"/>
              </w:rPr>
            </w:pPr>
            <w:r w:rsidRPr="007E5A2F">
              <w:rPr>
                <w:b/>
                <w:i/>
                <w:sz w:val="24"/>
                <w:szCs w:val="24"/>
              </w:rPr>
              <w:t>Context-Specific Indicators</w:t>
            </w:r>
          </w:p>
          <w:p w14:paraId="73E4AEA3" w14:textId="77777777" w:rsidR="00D82147" w:rsidRPr="007E5A2F" w:rsidRDefault="00973D2A">
            <w:pPr>
              <w:spacing w:after="0" w:line="240" w:lineRule="auto"/>
              <w:rPr>
                <w:sz w:val="24"/>
                <w:szCs w:val="24"/>
              </w:rPr>
            </w:pPr>
            <w:r w:rsidRPr="007E5A2F">
              <w:rPr>
                <w:sz w:val="24"/>
                <w:szCs w:val="24"/>
              </w:rPr>
              <w:t xml:space="preserve">Strongly recommended to gather one or more, based upon the priorities of affected people, the agency and the response </w:t>
            </w:r>
          </w:p>
        </w:tc>
      </w:tr>
      <w:tr w:rsidR="007E5A2F" w:rsidRPr="007E5A2F" w14:paraId="4EA30E1F" w14:textId="77777777" w:rsidTr="00E6394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EB35" w14:textId="77777777" w:rsidR="000B4055" w:rsidRPr="007E5A2F" w:rsidRDefault="000B4055" w:rsidP="000B4055">
            <w:pPr>
              <w:spacing w:after="0"/>
              <w:rPr>
                <w:b/>
              </w:rPr>
            </w:pPr>
            <w:r w:rsidRPr="007E5A2F">
              <w:rPr>
                <w:b/>
              </w:rPr>
              <w:t>WASH</w:t>
            </w:r>
          </w:p>
          <w:p w14:paraId="72B61F86" w14:textId="67DECEE1" w:rsidR="0069258D" w:rsidRPr="007E5A2F" w:rsidRDefault="0069258D" w:rsidP="0069258D">
            <w:pPr>
              <w:rPr>
                <w:sz w:val="20"/>
              </w:rPr>
            </w:pPr>
            <w:r w:rsidRPr="007E5A2F">
              <w:rPr>
                <w:sz w:val="20"/>
              </w:rPr>
              <w:t xml:space="preserve">In some countries where MPC is implemented at scale, the MPC post distribution monitoring </w:t>
            </w:r>
            <w:r w:rsidR="00472784" w:rsidRPr="007E5A2F">
              <w:rPr>
                <w:sz w:val="20"/>
              </w:rPr>
              <w:t xml:space="preserve">can include the measurement of the abandon of </w:t>
            </w:r>
            <w:r w:rsidRPr="007E5A2F">
              <w:rPr>
                <w:sz w:val="20"/>
              </w:rPr>
              <w:t xml:space="preserve">WASH-related negative coping strategies. This is particularly important in contexts where MPC is used as a first line response. </w:t>
            </w:r>
            <w:r w:rsidR="006C6D23" w:rsidRPr="007E5A2F">
              <w:rPr>
                <w:sz w:val="20"/>
              </w:rPr>
              <w:t>The following indicators are given as example:</w:t>
            </w:r>
          </w:p>
          <w:p w14:paraId="690EF587" w14:textId="20DD1B48" w:rsidR="00021B52" w:rsidRPr="007E5A2F" w:rsidRDefault="00472784" w:rsidP="00021B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7E5A2F">
              <w:rPr>
                <w:sz w:val="20"/>
              </w:rPr>
              <w:t xml:space="preserve">Percentage of households </w:t>
            </w:r>
            <w:r w:rsidR="00C07415" w:rsidRPr="007E5A2F">
              <w:rPr>
                <w:sz w:val="20"/>
              </w:rPr>
              <w:t xml:space="preserve">using </w:t>
            </w:r>
            <w:r w:rsidRPr="007E5A2F">
              <w:rPr>
                <w:sz w:val="20"/>
              </w:rPr>
              <w:t xml:space="preserve">an unsafe </w:t>
            </w:r>
            <w:r w:rsidR="006C6D23" w:rsidRPr="007E5A2F">
              <w:rPr>
                <w:sz w:val="20"/>
              </w:rPr>
              <w:t xml:space="preserve">water </w:t>
            </w:r>
            <w:r w:rsidRPr="007E5A2F">
              <w:rPr>
                <w:sz w:val="20"/>
              </w:rPr>
              <w:t xml:space="preserve">source because they cannot afford using a safer </w:t>
            </w:r>
            <w:r w:rsidR="00C07415" w:rsidRPr="007E5A2F">
              <w:rPr>
                <w:sz w:val="20"/>
              </w:rPr>
              <w:t xml:space="preserve">water </w:t>
            </w:r>
            <w:r w:rsidR="00021B52" w:rsidRPr="007E5A2F">
              <w:rPr>
                <w:sz w:val="20"/>
              </w:rPr>
              <w:t>source;</w:t>
            </w:r>
          </w:p>
          <w:p w14:paraId="4573DFD8" w14:textId="5D6C55FF" w:rsidR="00472784" w:rsidRPr="007E5A2F" w:rsidRDefault="00472784" w:rsidP="0047278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7E5A2F">
              <w:rPr>
                <w:sz w:val="20"/>
              </w:rPr>
              <w:t>Percentage of households practic</w:t>
            </w:r>
            <w:r w:rsidR="00C07415" w:rsidRPr="007E5A2F">
              <w:rPr>
                <w:sz w:val="20"/>
              </w:rPr>
              <w:t>ing</w:t>
            </w:r>
            <w:r w:rsidRPr="007E5A2F">
              <w:rPr>
                <w:sz w:val="20"/>
              </w:rPr>
              <w:t xml:space="preserve"> open defecation because they cannot afford paying for public latrine</w:t>
            </w:r>
            <w:r w:rsidR="00C07415" w:rsidRPr="007E5A2F">
              <w:rPr>
                <w:sz w:val="20"/>
              </w:rPr>
              <w:t xml:space="preserve"> or </w:t>
            </w:r>
            <w:r w:rsidRPr="007E5A2F">
              <w:rPr>
                <w:sz w:val="20"/>
              </w:rPr>
              <w:t>building a latrine</w:t>
            </w:r>
            <w:r w:rsidR="00021B52" w:rsidRPr="007E5A2F">
              <w:rPr>
                <w:sz w:val="20"/>
              </w:rPr>
              <w:t>;</w:t>
            </w:r>
          </w:p>
          <w:p w14:paraId="3941AE36" w14:textId="74F08A49" w:rsidR="00472784" w:rsidRPr="007E5A2F" w:rsidRDefault="00472784" w:rsidP="0047278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7E5A2F">
              <w:rPr>
                <w:sz w:val="20"/>
              </w:rPr>
              <w:t xml:space="preserve">Percentage of households who had to spend their savings to purchase basic WASH related goods such as water, hygiene items, baby items, </w:t>
            </w:r>
            <w:proofErr w:type="spellStart"/>
            <w:r w:rsidRPr="007E5A2F">
              <w:rPr>
                <w:sz w:val="20"/>
              </w:rPr>
              <w:t>etc</w:t>
            </w:r>
            <w:proofErr w:type="spellEnd"/>
            <w:r w:rsidR="00021B52" w:rsidRPr="007E5A2F">
              <w:rPr>
                <w:sz w:val="20"/>
              </w:rPr>
              <w:t>…;</w:t>
            </w:r>
          </w:p>
          <w:p w14:paraId="73D6B2D5" w14:textId="5EFCF3C8" w:rsidR="00021B52" w:rsidRPr="007E5A2F" w:rsidRDefault="00472784" w:rsidP="007E5A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7E5A2F">
              <w:rPr>
                <w:sz w:val="20"/>
              </w:rPr>
              <w:t xml:space="preserve">Percentage of households who had to reduce essential WASH related basic needs expenditures such as hygiene items, water, baby items, </w:t>
            </w:r>
            <w:proofErr w:type="spellStart"/>
            <w:r w:rsidRPr="007E5A2F">
              <w:rPr>
                <w:sz w:val="20"/>
              </w:rPr>
              <w:t>etc</w:t>
            </w:r>
            <w:proofErr w:type="spellEnd"/>
            <w:r w:rsidR="00021B52" w:rsidRPr="007E5A2F">
              <w:rPr>
                <w:sz w:val="20"/>
              </w:rPr>
              <w:t>…;</w:t>
            </w:r>
          </w:p>
          <w:p w14:paraId="1C7BA62F" w14:textId="2764B9D3" w:rsidR="000B4055" w:rsidRPr="007E5A2F" w:rsidRDefault="0069258D" w:rsidP="00021B52">
            <w:pPr>
              <w:rPr>
                <w:sz w:val="20"/>
              </w:rPr>
            </w:pPr>
            <w:r w:rsidRPr="007E5A2F">
              <w:rPr>
                <w:sz w:val="20"/>
              </w:rPr>
              <w:lastRenderedPageBreak/>
              <w:t>The monitoring of these indicators before and after successive sounds of MPC di</w:t>
            </w:r>
            <w:r w:rsidR="00C20B2F" w:rsidRPr="007E5A2F">
              <w:rPr>
                <w:sz w:val="20"/>
              </w:rPr>
              <w:t>stribution can give an</w:t>
            </w:r>
            <w:r w:rsidRPr="007E5A2F">
              <w:rPr>
                <w:sz w:val="20"/>
              </w:rPr>
              <w:t xml:space="preserve"> indication on whether WASH-related needs are satisfied at a very basic level – i.e. there are no negative coping strategies related to them. This is a very low level of WASH outcome, and such indicators are useful in some contexts only.</w:t>
            </w:r>
          </w:p>
        </w:tc>
      </w:tr>
    </w:tbl>
    <w:p w14:paraId="6061AC2D" w14:textId="77777777" w:rsidR="00D82147" w:rsidRPr="007E5A2F" w:rsidRDefault="00D82147">
      <w:pPr>
        <w:spacing w:after="0" w:line="240" w:lineRule="auto"/>
      </w:pPr>
    </w:p>
    <w:p w14:paraId="1E17304A" w14:textId="77777777" w:rsidR="008238B0" w:rsidRPr="007E5A2F" w:rsidRDefault="008238B0">
      <w:pPr>
        <w:spacing w:after="0" w:line="240" w:lineRule="auto"/>
        <w:rPr>
          <w:sz w:val="20"/>
        </w:rPr>
      </w:pPr>
    </w:p>
    <w:p w14:paraId="7AA4369C" w14:textId="77777777" w:rsidR="008238B0" w:rsidRPr="007E5A2F" w:rsidRDefault="008238B0" w:rsidP="008238B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Noto Sans Symbols" w:hAnsi="Noto Sans Symbols"/>
          <w:sz w:val="20"/>
          <w:szCs w:val="22"/>
        </w:rPr>
      </w:pPr>
      <w:r w:rsidRPr="007E5A2F">
        <w:rPr>
          <w:rFonts w:ascii="Calibri" w:hAnsi="Calibri" w:cs="Calibri"/>
          <w:sz w:val="20"/>
          <w:szCs w:val="22"/>
        </w:rPr>
        <w:t xml:space="preserve">An asterisk (*) indicates that quality is self-reported (i.e. quality is acceptable to the beneficiary). Reference to Sphere standards may be used in surveys, but objective measurement may not be possible or advisable. </w:t>
      </w:r>
    </w:p>
    <w:p w14:paraId="08CFF390" w14:textId="77777777" w:rsidR="003607D0" w:rsidRPr="007E5A2F" w:rsidRDefault="003607D0" w:rsidP="003607D0">
      <w:pPr>
        <w:pStyle w:val="NormalWeb"/>
        <w:spacing w:before="0" w:beforeAutospacing="0" w:after="0" w:afterAutospacing="0"/>
        <w:ind w:left="360"/>
        <w:textAlignment w:val="baseline"/>
        <w:rPr>
          <w:rFonts w:ascii="Noto Sans Symbols" w:hAnsi="Noto Sans Symbols"/>
          <w:sz w:val="20"/>
          <w:szCs w:val="22"/>
        </w:rPr>
      </w:pPr>
    </w:p>
    <w:p w14:paraId="2CBF9C94" w14:textId="77777777" w:rsidR="008238B0" w:rsidRPr="007E5A2F" w:rsidRDefault="008238B0" w:rsidP="008238B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Noto Sans Symbols" w:hAnsi="Noto Sans Symbols"/>
          <w:sz w:val="20"/>
          <w:szCs w:val="22"/>
        </w:rPr>
      </w:pPr>
      <w:r w:rsidRPr="007E5A2F">
        <w:rPr>
          <w:rFonts w:ascii="Calibri" w:hAnsi="Calibri" w:cs="Calibri"/>
          <w:sz w:val="20"/>
          <w:szCs w:val="22"/>
        </w:rPr>
        <w:t>Two asterisks (**) indicates that, while also self-reported, a technical specialist should provide at least periodic checks on quality.</w:t>
      </w:r>
    </w:p>
    <w:p w14:paraId="4DE69542" w14:textId="77777777" w:rsidR="008238B0" w:rsidRPr="007E5A2F" w:rsidRDefault="008238B0">
      <w:pPr>
        <w:spacing w:after="0" w:line="240" w:lineRule="auto"/>
        <w:rPr>
          <w:sz w:val="20"/>
        </w:rPr>
      </w:pPr>
    </w:p>
    <w:p w14:paraId="21F8E75C" w14:textId="77777777" w:rsidR="00D82147" w:rsidRPr="007E5A2F" w:rsidRDefault="00D82147"/>
    <w:p w14:paraId="64D07ADA" w14:textId="77777777" w:rsidR="00D82147" w:rsidRPr="007E5A2F" w:rsidRDefault="00D82147"/>
    <w:sectPr w:rsidR="00D82147" w:rsidRPr="007E5A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3069" w14:textId="77777777" w:rsidR="00DB7734" w:rsidRDefault="00DB7734" w:rsidP="00623991">
      <w:pPr>
        <w:spacing w:after="0" w:line="240" w:lineRule="auto"/>
      </w:pPr>
      <w:r>
        <w:separator/>
      </w:r>
    </w:p>
  </w:endnote>
  <w:endnote w:type="continuationSeparator" w:id="0">
    <w:p w14:paraId="4B7BBA14" w14:textId="77777777" w:rsidR="00DB7734" w:rsidRDefault="00DB7734" w:rsidP="0062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BC46" w14:textId="77777777" w:rsidR="00DB7734" w:rsidRDefault="00DB7734" w:rsidP="00623991">
      <w:pPr>
        <w:spacing w:after="0" w:line="240" w:lineRule="auto"/>
      </w:pPr>
      <w:r>
        <w:separator/>
      </w:r>
    </w:p>
  </w:footnote>
  <w:footnote w:type="continuationSeparator" w:id="0">
    <w:p w14:paraId="4005A94F" w14:textId="77777777" w:rsidR="00DB7734" w:rsidRDefault="00DB7734" w:rsidP="00623991">
      <w:pPr>
        <w:spacing w:after="0" w:line="240" w:lineRule="auto"/>
      </w:pPr>
      <w:r>
        <w:continuationSeparator/>
      </w:r>
    </w:p>
  </w:footnote>
  <w:footnote w:id="1">
    <w:p w14:paraId="4D793266" w14:textId="77777777" w:rsidR="005433A9" w:rsidRPr="0064422E" w:rsidRDefault="005433A9" w:rsidP="003607D0">
      <w:pPr>
        <w:pStyle w:val="FootnoteText"/>
        <w:tabs>
          <w:tab w:val="left" w:pos="270"/>
        </w:tabs>
        <w:spacing w:before="120"/>
        <w:ind w:left="274" w:hanging="274"/>
        <w:rPr>
          <w:sz w:val="18"/>
          <w:lang w:val="en-GB"/>
        </w:rPr>
      </w:pPr>
      <w:r w:rsidRPr="0064422E">
        <w:rPr>
          <w:rStyle w:val="FootnoteReference"/>
          <w:sz w:val="18"/>
        </w:rPr>
        <w:footnoteRef/>
      </w:r>
      <w:r w:rsidRPr="0064422E">
        <w:rPr>
          <w:rStyle w:val="FootnoteReference"/>
          <w:sz w:val="18"/>
        </w:rPr>
        <w:t xml:space="preserve"> </w:t>
      </w:r>
      <w:r w:rsidR="00726276" w:rsidRPr="0064422E">
        <w:rPr>
          <w:sz w:val="18"/>
        </w:rPr>
        <w:tab/>
      </w:r>
      <w:r w:rsidR="003607D0" w:rsidRPr="0064422E">
        <w:rPr>
          <w:sz w:val="18"/>
        </w:rPr>
        <w:t>Emergency WASH standards are usually set up by the Government or the National WASH cluster/sector coordination platform. If not, SPHERE standards can be applied</w:t>
      </w:r>
      <w:r w:rsidR="003607D0" w:rsidRPr="0064422E">
        <w:rPr>
          <w:sz w:val="18"/>
          <w:lang w:val="en-GB"/>
        </w:rPr>
        <w:t>.</w:t>
      </w:r>
    </w:p>
  </w:footnote>
  <w:footnote w:id="2">
    <w:p w14:paraId="3D8F53CA" w14:textId="310D26F4" w:rsidR="00EC0759" w:rsidRPr="0064422E" w:rsidRDefault="00EC0759" w:rsidP="003607D0">
      <w:pPr>
        <w:pStyle w:val="FootnoteText"/>
        <w:tabs>
          <w:tab w:val="left" w:pos="270"/>
        </w:tabs>
        <w:spacing w:before="120"/>
        <w:ind w:left="274" w:hanging="274"/>
        <w:rPr>
          <w:sz w:val="18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</w:t>
      </w:r>
      <w:r w:rsidR="00726276" w:rsidRPr="0064422E">
        <w:rPr>
          <w:sz w:val="18"/>
        </w:rPr>
        <w:tab/>
      </w:r>
      <w:r w:rsidR="003607D0" w:rsidRPr="0064422E">
        <w:rPr>
          <w:sz w:val="18"/>
          <w:lang w:val="en-GB"/>
        </w:rPr>
        <w:t>In some setting, water supply or sanitation related costs can be “hidden” in other costs (example: water cost included in the rent, in urban setting wastewater treatment is included in water bill), so water or sanitation</w:t>
      </w:r>
      <w:r w:rsidR="003F49B2">
        <w:rPr>
          <w:sz w:val="18"/>
          <w:lang w:val="en-GB"/>
        </w:rPr>
        <w:t xml:space="preserve"> expenditure</w:t>
      </w:r>
      <w:r w:rsidR="003607D0" w:rsidRPr="0064422E">
        <w:rPr>
          <w:sz w:val="18"/>
          <w:lang w:val="en-GB"/>
        </w:rPr>
        <w:t xml:space="preserve"> would not necessarily appear as such in the </w:t>
      </w:r>
      <w:r w:rsidR="00E269C3">
        <w:rPr>
          <w:sz w:val="18"/>
          <w:lang w:val="en-GB"/>
        </w:rPr>
        <w:t>transfer value</w:t>
      </w:r>
      <w:r w:rsidR="00292CB0" w:rsidRPr="0064422E">
        <w:rPr>
          <w:sz w:val="18"/>
          <w:lang w:val="en-GB"/>
        </w:rPr>
        <w:t>;</w:t>
      </w:r>
      <w:r w:rsidR="003607D0" w:rsidRPr="0064422E">
        <w:rPr>
          <w:sz w:val="18"/>
          <w:lang w:val="en-GB"/>
        </w:rPr>
        <w:t xml:space="preserve"> but this indicator can still be included if </w:t>
      </w:r>
      <w:r w:rsidR="003607D0" w:rsidRPr="0064422E">
        <w:rPr>
          <w:color w:val="000000"/>
          <w:sz w:val="18"/>
        </w:rPr>
        <w:t xml:space="preserve">the </w:t>
      </w:r>
      <w:r w:rsidR="00292CB0" w:rsidRPr="0064422E">
        <w:rPr>
          <w:color w:val="000000"/>
          <w:sz w:val="18"/>
        </w:rPr>
        <w:t xml:space="preserve">three other </w:t>
      </w:r>
      <w:r w:rsidR="003607D0" w:rsidRPr="0064422E">
        <w:rPr>
          <w:color w:val="000000"/>
          <w:sz w:val="18"/>
        </w:rPr>
        <w:t xml:space="preserve">conditions listed in the </w:t>
      </w:r>
      <w:r w:rsidR="003607D0" w:rsidRPr="0064422E">
        <w:rPr>
          <w:i/>
          <w:color w:val="000000"/>
          <w:sz w:val="18"/>
        </w:rPr>
        <w:t>Core Indicators</w:t>
      </w:r>
      <w:r w:rsidR="003607D0" w:rsidRPr="0064422E">
        <w:rPr>
          <w:color w:val="000000"/>
          <w:sz w:val="18"/>
        </w:rPr>
        <w:t xml:space="preserve"> </w:t>
      </w:r>
      <w:r w:rsidR="003607D0" w:rsidRPr="0064422E">
        <w:rPr>
          <w:sz w:val="18"/>
          <w:lang w:val="en-GB"/>
        </w:rPr>
        <w:t>are met</w:t>
      </w:r>
      <w:r w:rsidR="00B27014" w:rsidRPr="0064422E">
        <w:rPr>
          <w:sz w:val="18"/>
        </w:rPr>
        <w:t>.</w:t>
      </w:r>
      <w:r w:rsidRPr="0064422E">
        <w:rPr>
          <w:sz w:val="18"/>
        </w:rPr>
        <w:t xml:space="preserve"> </w:t>
      </w:r>
    </w:p>
  </w:footnote>
  <w:footnote w:id="3">
    <w:p w14:paraId="3E8E32F7" w14:textId="77777777" w:rsidR="006545EE" w:rsidRPr="0064422E" w:rsidRDefault="00EC0759" w:rsidP="006545EE">
      <w:pPr>
        <w:pStyle w:val="FootnoteText"/>
        <w:tabs>
          <w:tab w:val="left" w:pos="270"/>
        </w:tabs>
        <w:spacing w:before="120"/>
        <w:ind w:left="274" w:hanging="274"/>
        <w:rPr>
          <w:sz w:val="18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</w:t>
      </w:r>
      <w:r w:rsidR="00726276" w:rsidRPr="0064422E">
        <w:rPr>
          <w:sz w:val="18"/>
        </w:rPr>
        <w:tab/>
      </w:r>
      <w:r w:rsidRPr="0064422E">
        <w:rPr>
          <w:sz w:val="18"/>
        </w:rPr>
        <w:t xml:space="preserve">This </w:t>
      </w:r>
      <w:r w:rsidR="00292CB0" w:rsidRPr="0064422E">
        <w:rPr>
          <w:sz w:val="18"/>
        </w:rPr>
        <w:t xml:space="preserve">indicator can </w:t>
      </w:r>
      <w:r w:rsidRPr="0064422E">
        <w:rPr>
          <w:sz w:val="18"/>
        </w:rPr>
        <w:t xml:space="preserve">be </w:t>
      </w:r>
      <w:r w:rsidR="0077781A" w:rsidRPr="0064422E">
        <w:rPr>
          <w:sz w:val="18"/>
        </w:rPr>
        <w:t xml:space="preserve">partly </w:t>
      </w:r>
      <w:r w:rsidRPr="0064422E">
        <w:rPr>
          <w:sz w:val="18"/>
        </w:rPr>
        <w:t>self-report</w:t>
      </w:r>
      <w:r w:rsidR="0077781A" w:rsidRPr="0064422E">
        <w:rPr>
          <w:sz w:val="18"/>
        </w:rPr>
        <w:t>ed</w:t>
      </w:r>
      <w:r w:rsidRPr="0064422E">
        <w:rPr>
          <w:sz w:val="18"/>
        </w:rPr>
        <w:t xml:space="preserve"> by beneficiar</w:t>
      </w:r>
      <w:r w:rsidR="00292CB0" w:rsidRPr="0064422E">
        <w:rPr>
          <w:sz w:val="18"/>
        </w:rPr>
        <w:t>ies</w:t>
      </w:r>
      <w:r w:rsidR="00B27014" w:rsidRPr="0064422E">
        <w:rPr>
          <w:sz w:val="18"/>
        </w:rPr>
        <w:t xml:space="preserve">, but </w:t>
      </w:r>
      <w:r w:rsidR="00726276" w:rsidRPr="0064422E">
        <w:rPr>
          <w:sz w:val="18"/>
        </w:rPr>
        <w:t xml:space="preserve">survey enumerators should be </w:t>
      </w:r>
      <w:r w:rsidR="00B27014" w:rsidRPr="0064422E">
        <w:rPr>
          <w:sz w:val="18"/>
        </w:rPr>
        <w:t xml:space="preserve">properly trained </w:t>
      </w:r>
      <w:r w:rsidR="00726276" w:rsidRPr="0064422E">
        <w:rPr>
          <w:sz w:val="18"/>
        </w:rPr>
        <w:t xml:space="preserve">in </w:t>
      </w:r>
      <w:r w:rsidR="00B27014" w:rsidRPr="0064422E">
        <w:rPr>
          <w:sz w:val="18"/>
        </w:rPr>
        <w:t>WASH monitor</w:t>
      </w:r>
      <w:r w:rsidR="00726276" w:rsidRPr="0064422E">
        <w:rPr>
          <w:sz w:val="18"/>
        </w:rPr>
        <w:t xml:space="preserve">ing </w:t>
      </w:r>
      <w:r w:rsidR="00292CB0" w:rsidRPr="0064422E">
        <w:rPr>
          <w:sz w:val="18"/>
        </w:rPr>
        <w:t xml:space="preserve">to interpret </w:t>
      </w:r>
      <w:r w:rsidR="00F41974" w:rsidRPr="0064422E">
        <w:rPr>
          <w:sz w:val="18"/>
        </w:rPr>
        <w:t>beneficiaries’</w:t>
      </w:r>
      <w:r w:rsidR="00292CB0" w:rsidRPr="0064422E">
        <w:rPr>
          <w:sz w:val="18"/>
        </w:rPr>
        <w:t xml:space="preserve"> answers. For </w:t>
      </w:r>
      <w:r w:rsidR="00726276" w:rsidRPr="0064422E">
        <w:rPr>
          <w:sz w:val="18"/>
        </w:rPr>
        <w:t>example:</w:t>
      </w:r>
    </w:p>
    <w:p w14:paraId="70460B9D" w14:textId="77777777" w:rsidR="006545EE" w:rsidRPr="0064422E" w:rsidRDefault="006545EE" w:rsidP="006545EE">
      <w:pPr>
        <w:pStyle w:val="FootnoteText"/>
        <w:numPr>
          <w:ilvl w:val="0"/>
          <w:numId w:val="25"/>
        </w:numPr>
        <w:tabs>
          <w:tab w:val="left" w:pos="270"/>
        </w:tabs>
        <w:spacing w:before="120"/>
        <w:rPr>
          <w:sz w:val="18"/>
        </w:rPr>
      </w:pPr>
      <w:r w:rsidRPr="0064422E">
        <w:rPr>
          <w:sz w:val="18"/>
        </w:rPr>
        <w:t>when the</w:t>
      </w:r>
      <w:r w:rsidR="00EC0759" w:rsidRPr="0064422E">
        <w:rPr>
          <w:sz w:val="18"/>
        </w:rPr>
        <w:t xml:space="preserve"> standards are related to the quantity of water per person and per day, </w:t>
      </w:r>
      <w:r w:rsidR="00726276" w:rsidRPr="0064422E">
        <w:rPr>
          <w:sz w:val="18"/>
        </w:rPr>
        <w:t>the survey enumerator should be able to calculate it</w:t>
      </w:r>
      <w:r w:rsidR="00EC0759" w:rsidRPr="0064422E">
        <w:rPr>
          <w:sz w:val="18"/>
        </w:rPr>
        <w:t xml:space="preserve"> </w:t>
      </w:r>
      <w:r w:rsidR="00726276" w:rsidRPr="0064422E">
        <w:rPr>
          <w:sz w:val="18"/>
        </w:rPr>
        <w:t>based on the HH answers</w:t>
      </w:r>
      <w:r w:rsidR="00F41974" w:rsidRPr="0064422E">
        <w:rPr>
          <w:sz w:val="18"/>
        </w:rPr>
        <w:t>;</w:t>
      </w:r>
    </w:p>
    <w:p w14:paraId="4A3876BA" w14:textId="77777777" w:rsidR="006545EE" w:rsidRPr="0064422E" w:rsidRDefault="006545EE" w:rsidP="006545EE">
      <w:pPr>
        <w:pStyle w:val="FootnoteText"/>
        <w:numPr>
          <w:ilvl w:val="0"/>
          <w:numId w:val="25"/>
        </w:numPr>
        <w:tabs>
          <w:tab w:val="left" w:pos="270"/>
        </w:tabs>
        <w:spacing w:before="120"/>
        <w:rPr>
          <w:sz w:val="18"/>
        </w:rPr>
      </w:pPr>
      <w:r w:rsidRPr="0064422E">
        <w:rPr>
          <w:sz w:val="18"/>
        </w:rPr>
        <w:t xml:space="preserve">when </w:t>
      </w:r>
      <w:r w:rsidR="00F41974" w:rsidRPr="0064422E">
        <w:rPr>
          <w:sz w:val="18"/>
        </w:rPr>
        <w:t>the standards</w:t>
      </w:r>
      <w:r w:rsidR="00EC0759" w:rsidRPr="0064422E">
        <w:rPr>
          <w:sz w:val="18"/>
        </w:rPr>
        <w:t xml:space="preserve"> include water quality, </w:t>
      </w:r>
      <w:r w:rsidR="00726276" w:rsidRPr="0064422E">
        <w:rPr>
          <w:sz w:val="18"/>
        </w:rPr>
        <w:t>the survey enumerator should be able to assess the safety of the water that is used</w:t>
      </w:r>
      <w:r w:rsidRPr="0064422E">
        <w:rPr>
          <w:sz w:val="18"/>
        </w:rPr>
        <w:t xml:space="preserve"> (for instance chlorination procedure in the HH water container)</w:t>
      </w:r>
      <w:r w:rsidR="00F41974" w:rsidRPr="0064422E">
        <w:rPr>
          <w:sz w:val="18"/>
        </w:rPr>
        <w:t>;</w:t>
      </w:r>
      <w:r w:rsidR="00FB698A" w:rsidRPr="0064422E">
        <w:rPr>
          <w:sz w:val="18"/>
        </w:rPr>
        <w:t xml:space="preserve"> </w:t>
      </w:r>
    </w:p>
    <w:p w14:paraId="732F9E9A" w14:textId="77777777" w:rsidR="006545EE" w:rsidRPr="0064422E" w:rsidRDefault="006545EE" w:rsidP="006545EE">
      <w:pPr>
        <w:pStyle w:val="FootnoteText"/>
        <w:numPr>
          <w:ilvl w:val="0"/>
          <w:numId w:val="25"/>
        </w:numPr>
        <w:tabs>
          <w:tab w:val="left" w:pos="270"/>
        </w:tabs>
        <w:spacing w:before="120"/>
        <w:rPr>
          <w:sz w:val="18"/>
        </w:rPr>
      </w:pPr>
      <w:r w:rsidRPr="0064422E">
        <w:rPr>
          <w:sz w:val="18"/>
        </w:rPr>
        <w:t xml:space="preserve">When the </w:t>
      </w:r>
      <w:r w:rsidR="00C853E5" w:rsidRPr="0064422E">
        <w:rPr>
          <w:sz w:val="18"/>
        </w:rPr>
        <w:t xml:space="preserve">standards </w:t>
      </w:r>
      <w:r w:rsidRPr="0064422E">
        <w:rPr>
          <w:sz w:val="18"/>
        </w:rPr>
        <w:t xml:space="preserve">are on </w:t>
      </w:r>
      <w:r w:rsidR="00C853E5" w:rsidRPr="0064422E">
        <w:rPr>
          <w:sz w:val="18"/>
        </w:rPr>
        <w:t>toilets</w:t>
      </w:r>
      <w:r w:rsidRPr="0064422E">
        <w:rPr>
          <w:sz w:val="18"/>
        </w:rPr>
        <w:t>, the survey enumerator</w:t>
      </w:r>
      <w:r w:rsidR="00F41974" w:rsidRPr="0064422E">
        <w:rPr>
          <w:sz w:val="18"/>
        </w:rPr>
        <w:t xml:space="preserve"> </w:t>
      </w:r>
      <w:r w:rsidRPr="0064422E">
        <w:rPr>
          <w:sz w:val="18"/>
        </w:rPr>
        <w:t>must</w:t>
      </w:r>
      <w:r w:rsidR="00C853E5" w:rsidRPr="0064422E">
        <w:rPr>
          <w:sz w:val="18"/>
        </w:rPr>
        <w:t xml:space="preserve"> assess several characteristics associated to location, types, safety and dignity use…</w:t>
      </w:r>
      <w:r w:rsidR="00726276" w:rsidRPr="0064422E">
        <w:rPr>
          <w:sz w:val="18"/>
        </w:rPr>
        <w:t>).</w:t>
      </w:r>
      <w:r w:rsidR="00292CB0" w:rsidRPr="0064422E">
        <w:rPr>
          <w:sz w:val="18"/>
        </w:rPr>
        <w:t xml:space="preserve"> </w:t>
      </w:r>
    </w:p>
    <w:p w14:paraId="04E45C68" w14:textId="77777777" w:rsidR="00C853E5" w:rsidRPr="0064422E" w:rsidRDefault="00C853E5" w:rsidP="006545EE">
      <w:pPr>
        <w:pStyle w:val="FootnoteText"/>
        <w:tabs>
          <w:tab w:val="left" w:pos="270"/>
        </w:tabs>
        <w:spacing w:before="120" w:after="120"/>
        <w:ind w:left="288"/>
        <w:rPr>
          <w:sz w:val="18"/>
        </w:rPr>
      </w:pPr>
      <w:r w:rsidRPr="0064422E">
        <w:rPr>
          <w:sz w:val="18"/>
        </w:rPr>
        <w:t>Therefore, d</w:t>
      </w:r>
      <w:r w:rsidR="00FB698A" w:rsidRPr="0064422E">
        <w:rPr>
          <w:sz w:val="18"/>
        </w:rPr>
        <w:t>epending on the standard, several questions should be asked to appraise if the conditions to fulfil the indicator are met or not.</w:t>
      </w:r>
      <w:r w:rsidR="007722A0" w:rsidRPr="0064422E">
        <w:rPr>
          <w:sz w:val="18"/>
        </w:rPr>
        <w:t xml:space="preserve"> In addition to self-reporting, physical check </w:t>
      </w:r>
      <w:r w:rsidR="006545EE" w:rsidRPr="0064422E">
        <w:rPr>
          <w:sz w:val="18"/>
        </w:rPr>
        <w:t xml:space="preserve">is </w:t>
      </w:r>
      <w:r w:rsidR="00F41974" w:rsidRPr="0064422E">
        <w:rPr>
          <w:sz w:val="18"/>
        </w:rPr>
        <w:t>also required</w:t>
      </w:r>
      <w:r w:rsidR="007722A0" w:rsidRPr="0064422E">
        <w:rPr>
          <w:sz w:val="18"/>
        </w:rPr>
        <w:t xml:space="preserve"> to properly measure this indicator and evaluate the public health risks.</w:t>
      </w:r>
    </w:p>
  </w:footnote>
  <w:footnote w:id="4">
    <w:p w14:paraId="47B9A8F8" w14:textId="4044DE7C" w:rsidR="007722A0" w:rsidRPr="0064422E" w:rsidRDefault="007722A0" w:rsidP="007722A0">
      <w:pPr>
        <w:pStyle w:val="FootnoteText"/>
        <w:ind w:left="284" w:hanging="284"/>
        <w:rPr>
          <w:sz w:val="18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   This indicator is used as an additional indicator to assess water </w:t>
      </w:r>
      <w:r w:rsidR="00E269C3">
        <w:rPr>
          <w:sz w:val="18"/>
        </w:rPr>
        <w:t>quality:</w:t>
      </w:r>
      <w:r w:rsidR="00E269C3" w:rsidRPr="0064422E">
        <w:rPr>
          <w:sz w:val="18"/>
        </w:rPr>
        <w:t xml:space="preserve"> </w:t>
      </w:r>
      <w:r w:rsidR="00E269C3">
        <w:rPr>
          <w:sz w:val="18"/>
        </w:rPr>
        <w:t>i</w:t>
      </w:r>
      <w:r w:rsidR="00E269C3" w:rsidRPr="0064422E">
        <w:rPr>
          <w:sz w:val="18"/>
        </w:rPr>
        <w:t xml:space="preserve">n </w:t>
      </w:r>
      <w:r w:rsidRPr="0064422E">
        <w:rPr>
          <w:sz w:val="18"/>
        </w:rPr>
        <w:t xml:space="preserve">many cases water quality </w:t>
      </w:r>
      <w:r w:rsidR="00F41974" w:rsidRPr="0064422E">
        <w:rPr>
          <w:sz w:val="18"/>
        </w:rPr>
        <w:t>depends</w:t>
      </w:r>
      <w:r w:rsidRPr="0064422E">
        <w:rPr>
          <w:sz w:val="18"/>
        </w:rPr>
        <w:t xml:space="preserve"> on the type of </w:t>
      </w:r>
      <w:r w:rsidR="00E269C3">
        <w:rPr>
          <w:sz w:val="18"/>
        </w:rPr>
        <w:t xml:space="preserve">recipients </w:t>
      </w:r>
      <w:r w:rsidRPr="0064422E">
        <w:rPr>
          <w:sz w:val="18"/>
        </w:rPr>
        <w:t>used for transporting and storing water inside the HH</w:t>
      </w:r>
      <w:r w:rsidR="00F41974" w:rsidRPr="0064422E">
        <w:rPr>
          <w:sz w:val="18"/>
        </w:rPr>
        <w:t>.</w:t>
      </w:r>
    </w:p>
  </w:footnote>
  <w:footnote w:id="5">
    <w:p w14:paraId="38940BDC" w14:textId="1F7E2F30" w:rsidR="00196991" w:rsidRPr="0064422E" w:rsidRDefault="00196991" w:rsidP="00196991">
      <w:pPr>
        <w:pStyle w:val="FootnoteText"/>
        <w:tabs>
          <w:tab w:val="left" w:pos="270"/>
        </w:tabs>
        <w:spacing w:before="120"/>
        <w:ind w:left="274" w:hanging="274"/>
        <w:rPr>
          <w:sz w:val="18"/>
          <w:lang w:val="en-GB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  <w:lang w:val="en-GB"/>
        </w:rPr>
        <w:t xml:space="preserve"> </w:t>
      </w:r>
      <w:r w:rsidRPr="0064422E">
        <w:rPr>
          <w:sz w:val="18"/>
          <w:lang w:val="en-GB"/>
        </w:rPr>
        <w:tab/>
        <w:t xml:space="preserve">In many cases, sanitation costs will be a </w:t>
      </w:r>
      <w:r>
        <w:rPr>
          <w:sz w:val="18"/>
          <w:lang w:val="en-GB"/>
        </w:rPr>
        <w:t xml:space="preserve">large </w:t>
      </w:r>
      <w:r w:rsidRPr="0064422E">
        <w:rPr>
          <w:sz w:val="18"/>
          <w:lang w:val="en-GB"/>
        </w:rPr>
        <w:t xml:space="preserve">one-off initial cost (ex: build a latrine), with very few regular costs after that. In </w:t>
      </w:r>
      <w:r w:rsidR="00472784">
        <w:rPr>
          <w:sz w:val="18"/>
          <w:lang w:val="en-GB"/>
        </w:rPr>
        <w:t xml:space="preserve">such </w:t>
      </w:r>
      <w:r w:rsidRPr="0064422E">
        <w:rPr>
          <w:sz w:val="18"/>
          <w:lang w:val="en-GB"/>
        </w:rPr>
        <w:t>case</w:t>
      </w:r>
      <w:r w:rsidR="00472784">
        <w:rPr>
          <w:sz w:val="18"/>
          <w:lang w:val="en-GB"/>
        </w:rPr>
        <w:t>s</w:t>
      </w:r>
      <w:r w:rsidRPr="0064422E">
        <w:rPr>
          <w:sz w:val="18"/>
          <w:lang w:val="en-GB"/>
        </w:rPr>
        <w:t xml:space="preserve"> this </w:t>
      </w:r>
      <w:r>
        <w:rPr>
          <w:sz w:val="18"/>
          <w:lang w:val="en-GB"/>
        </w:rPr>
        <w:t xml:space="preserve">initial </w:t>
      </w:r>
      <w:r w:rsidRPr="0064422E">
        <w:rPr>
          <w:sz w:val="18"/>
          <w:lang w:val="en-GB"/>
        </w:rPr>
        <w:t xml:space="preserve">cost would need to be included only in the first cash </w:t>
      </w:r>
      <w:proofErr w:type="gramStart"/>
      <w:r w:rsidRPr="0064422E">
        <w:rPr>
          <w:sz w:val="18"/>
          <w:lang w:val="en-GB"/>
        </w:rPr>
        <w:t>transfer</w:t>
      </w:r>
      <w:r>
        <w:rPr>
          <w:sz w:val="18"/>
          <w:lang w:val="en-GB"/>
        </w:rPr>
        <w:t>s, or</w:t>
      </w:r>
      <w:proofErr w:type="gramEnd"/>
      <w:r>
        <w:rPr>
          <w:sz w:val="18"/>
          <w:lang w:val="en-GB"/>
        </w:rPr>
        <w:t xml:space="preserve"> addressed through another modality than MPC.</w:t>
      </w:r>
    </w:p>
  </w:footnote>
  <w:footnote w:id="6">
    <w:p w14:paraId="2297C1A1" w14:textId="77777777" w:rsidR="005433A9" w:rsidRPr="0064422E" w:rsidRDefault="005433A9" w:rsidP="003607D0">
      <w:pPr>
        <w:pStyle w:val="FootnoteText"/>
        <w:tabs>
          <w:tab w:val="left" w:pos="270"/>
        </w:tabs>
        <w:spacing w:before="120"/>
        <w:ind w:left="274" w:hanging="274"/>
        <w:rPr>
          <w:sz w:val="18"/>
          <w:lang w:val="en-GB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</w:t>
      </w:r>
      <w:r w:rsidR="003607D0" w:rsidRPr="0064422E">
        <w:rPr>
          <w:sz w:val="18"/>
        </w:rPr>
        <w:tab/>
      </w:r>
      <w:r w:rsidRPr="0064422E">
        <w:rPr>
          <w:sz w:val="18"/>
          <w:lang w:val="en-GB"/>
        </w:rPr>
        <w:t>Included as a mean to monitor more precisely sanitation related output (beside access)</w:t>
      </w:r>
      <w:r w:rsidR="00F41974" w:rsidRPr="0064422E">
        <w:rPr>
          <w:sz w:val="18"/>
          <w:lang w:val="en-GB"/>
        </w:rPr>
        <w:t>.</w:t>
      </w:r>
    </w:p>
  </w:footnote>
  <w:footnote w:id="7">
    <w:p w14:paraId="32EBF4A3" w14:textId="77777777" w:rsidR="002B5A0B" w:rsidRPr="0064422E" w:rsidRDefault="002B5A0B" w:rsidP="003607D0">
      <w:pPr>
        <w:pStyle w:val="FootnoteText"/>
        <w:tabs>
          <w:tab w:val="left" w:pos="270"/>
        </w:tabs>
        <w:spacing w:before="120"/>
        <w:ind w:left="274" w:hanging="274"/>
        <w:rPr>
          <w:sz w:val="18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</w:t>
      </w:r>
      <w:r w:rsidR="003607D0" w:rsidRPr="0064422E">
        <w:rPr>
          <w:sz w:val="18"/>
        </w:rPr>
        <w:tab/>
      </w:r>
      <w:r w:rsidRPr="0064422E">
        <w:rPr>
          <w:sz w:val="18"/>
        </w:rPr>
        <w:t>Defecation related practices might vary a lot within the HH between children, adult</w:t>
      </w:r>
      <w:r w:rsidR="003607D0" w:rsidRPr="0064422E">
        <w:rPr>
          <w:sz w:val="18"/>
        </w:rPr>
        <w:t>s</w:t>
      </w:r>
      <w:r w:rsidRPr="0064422E">
        <w:rPr>
          <w:sz w:val="18"/>
        </w:rPr>
        <w:t xml:space="preserve">, women and men. </w:t>
      </w:r>
      <w:r w:rsidRPr="0064422E">
        <w:rPr>
          <w:sz w:val="18"/>
          <w:lang w:val="en-GB"/>
        </w:rPr>
        <w:t>This indicator would therefore need to be broken down at least per age and when relevant by gender</w:t>
      </w:r>
      <w:r w:rsidR="00F41974" w:rsidRPr="0064422E">
        <w:rPr>
          <w:sz w:val="18"/>
          <w:lang w:val="en-GB"/>
        </w:rPr>
        <w:t>.</w:t>
      </w:r>
    </w:p>
  </w:footnote>
  <w:footnote w:id="8">
    <w:p w14:paraId="2114DF11" w14:textId="77777777" w:rsidR="00956919" w:rsidRPr="0064422E" w:rsidRDefault="00956919" w:rsidP="003607D0">
      <w:pPr>
        <w:pStyle w:val="FootnoteText"/>
        <w:tabs>
          <w:tab w:val="left" w:pos="270"/>
        </w:tabs>
        <w:spacing w:before="120"/>
        <w:ind w:left="274" w:hanging="274"/>
        <w:rPr>
          <w:sz w:val="18"/>
          <w:lang w:val="en-GB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</w:t>
      </w:r>
      <w:r w:rsidR="003607D0" w:rsidRPr="0064422E">
        <w:rPr>
          <w:sz w:val="18"/>
        </w:rPr>
        <w:tab/>
      </w:r>
      <w:r w:rsidRPr="0064422E">
        <w:rPr>
          <w:sz w:val="18"/>
          <w:lang w:val="en-GB"/>
        </w:rPr>
        <w:t>Handwashing place can be a handwashing facility (</w:t>
      </w:r>
      <w:r w:rsidR="003607D0" w:rsidRPr="0064422E">
        <w:rPr>
          <w:sz w:val="18"/>
          <w:lang w:val="en-GB"/>
        </w:rPr>
        <w:t>for example</w:t>
      </w:r>
      <w:r w:rsidRPr="0064422E">
        <w:rPr>
          <w:sz w:val="18"/>
          <w:lang w:val="en-GB"/>
        </w:rPr>
        <w:t>: tap with basin), a mobile handwashing device (jug and basin) or just a place where handwashing is practiced.</w:t>
      </w:r>
    </w:p>
  </w:footnote>
  <w:footnote w:id="9">
    <w:p w14:paraId="38BE5E73" w14:textId="77777777" w:rsidR="00956919" w:rsidRPr="0064422E" w:rsidRDefault="00956919" w:rsidP="003607D0">
      <w:pPr>
        <w:pStyle w:val="FootnoteText"/>
        <w:tabs>
          <w:tab w:val="left" w:pos="270"/>
        </w:tabs>
        <w:spacing w:before="120"/>
        <w:ind w:left="274" w:hanging="274"/>
        <w:rPr>
          <w:sz w:val="18"/>
          <w:lang w:val="en-GB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</w:t>
      </w:r>
      <w:r w:rsidR="003607D0" w:rsidRPr="0064422E">
        <w:rPr>
          <w:sz w:val="18"/>
        </w:rPr>
        <w:tab/>
      </w:r>
      <w:r w:rsidRPr="0064422E">
        <w:rPr>
          <w:sz w:val="18"/>
        </w:rPr>
        <w:t>Handwashing practices might vary a lot within the HH between children, adult</w:t>
      </w:r>
      <w:r w:rsidR="003607D0" w:rsidRPr="0064422E">
        <w:rPr>
          <w:sz w:val="18"/>
        </w:rPr>
        <w:t>s</w:t>
      </w:r>
      <w:r w:rsidRPr="0064422E">
        <w:rPr>
          <w:sz w:val="18"/>
        </w:rPr>
        <w:t xml:space="preserve">, women and men. </w:t>
      </w:r>
      <w:r w:rsidRPr="0064422E">
        <w:rPr>
          <w:sz w:val="18"/>
          <w:lang w:val="en-GB"/>
        </w:rPr>
        <w:t>This indicator would therefore need to be broken down per age and gender</w:t>
      </w:r>
    </w:p>
  </w:footnote>
  <w:footnote w:id="10">
    <w:p w14:paraId="7A3A425B" w14:textId="77777777" w:rsidR="002B5A0B" w:rsidRPr="0064422E" w:rsidRDefault="002B5A0B" w:rsidP="00F72B84">
      <w:pPr>
        <w:pStyle w:val="FootnoteText"/>
        <w:tabs>
          <w:tab w:val="left" w:pos="270"/>
        </w:tabs>
        <w:spacing w:before="120"/>
        <w:ind w:left="272" w:hanging="272"/>
        <w:rPr>
          <w:sz w:val="18"/>
          <w:lang w:val="en-GB"/>
        </w:rPr>
      </w:pPr>
      <w:r w:rsidRPr="0064422E">
        <w:rPr>
          <w:rStyle w:val="FootnoteReference"/>
          <w:sz w:val="18"/>
        </w:rPr>
        <w:footnoteRef/>
      </w:r>
      <w:r w:rsidRPr="0064422E">
        <w:rPr>
          <w:sz w:val="18"/>
        </w:rPr>
        <w:t xml:space="preserve"> </w:t>
      </w:r>
      <w:r w:rsidR="003607D0" w:rsidRPr="0064422E">
        <w:rPr>
          <w:sz w:val="18"/>
        </w:rPr>
        <w:tab/>
      </w:r>
      <w:r w:rsidRPr="0064422E">
        <w:rPr>
          <w:sz w:val="18"/>
        </w:rPr>
        <w:t>“</w:t>
      </w:r>
      <w:r w:rsidRPr="0064422E">
        <w:rPr>
          <w:sz w:val="18"/>
          <w:lang w:val="en-GB"/>
        </w:rPr>
        <w:t>Critical times</w:t>
      </w:r>
      <w:r w:rsidR="003607D0" w:rsidRPr="0064422E">
        <w:rPr>
          <w:sz w:val="18"/>
          <w:lang w:val="en-GB"/>
        </w:rPr>
        <w:t>”</w:t>
      </w:r>
      <w:r w:rsidRPr="0064422E">
        <w:rPr>
          <w:sz w:val="18"/>
          <w:lang w:val="en-GB"/>
        </w:rPr>
        <w:t xml:space="preserve"> should be defined by the national WASH cluster/sector coordination platform depending on context and target group (before eating, after defecation, before handling food, before feeding babies etc.) </w:t>
      </w:r>
    </w:p>
  </w:footnote>
  <w:footnote w:id="11">
    <w:p w14:paraId="7915100D" w14:textId="3DD6014C" w:rsidR="00F72B84" w:rsidRPr="00F72B84" w:rsidRDefault="00F72B84" w:rsidP="00F72B84">
      <w:pPr>
        <w:pStyle w:val="FootnoteText"/>
        <w:spacing w:before="120"/>
        <w:ind w:left="272" w:hanging="272"/>
        <w:rPr>
          <w:lang w:val="en-GB"/>
        </w:rPr>
      </w:pPr>
      <w:r>
        <w:rPr>
          <w:rStyle w:val="FootnoteReference"/>
        </w:rPr>
        <w:footnoteRef/>
      </w:r>
      <w:r>
        <w:t xml:space="preserve">   </w:t>
      </w:r>
      <w:r w:rsidRPr="00F72B84">
        <w:rPr>
          <w:sz w:val="18"/>
        </w:rPr>
        <w:t>In general, this indicator is better collected through a KAP survey rather than a PDM questionnaire</w:t>
      </w:r>
    </w:p>
  </w:footnote>
  <w:footnote w:id="12">
    <w:p w14:paraId="6E321A32" w14:textId="45597431" w:rsidR="00021B52" w:rsidRPr="007E5A2F" w:rsidRDefault="00021B52" w:rsidP="007E5A2F">
      <w:pPr>
        <w:pStyle w:val="FootnoteText"/>
        <w:tabs>
          <w:tab w:val="left" w:pos="270"/>
        </w:tabs>
        <w:spacing w:before="120"/>
        <w:ind w:left="274" w:hanging="274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R</w:t>
      </w:r>
      <w:r w:rsidRPr="00021B52">
        <w:rPr>
          <w:sz w:val="18"/>
          <w:szCs w:val="18"/>
        </w:rPr>
        <w:t>easons for lack of access to WASH</w:t>
      </w:r>
      <w:r w:rsidR="007E5A2F">
        <w:rPr>
          <w:sz w:val="18"/>
          <w:szCs w:val="18"/>
        </w:rPr>
        <w:t xml:space="preserve"> commodities or services are too numerous: </w:t>
      </w:r>
      <w:r w:rsidRPr="00021B52">
        <w:rPr>
          <w:sz w:val="18"/>
          <w:szCs w:val="18"/>
        </w:rPr>
        <w:t>distance, culture, social norms, quality of public wa</w:t>
      </w:r>
      <w:r w:rsidR="007E5A2F">
        <w:rPr>
          <w:sz w:val="18"/>
          <w:szCs w:val="18"/>
        </w:rPr>
        <w:t xml:space="preserve">ter or sanitation services </w:t>
      </w:r>
      <w:proofErr w:type="spellStart"/>
      <w:r w:rsidR="007E5A2F">
        <w:rPr>
          <w:sz w:val="18"/>
          <w:szCs w:val="18"/>
        </w:rPr>
        <w:t>etc</w:t>
      </w:r>
      <w:proofErr w:type="spellEnd"/>
      <w:r w:rsidR="007E5A2F">
        <w:rPr>
          <w:sz w:val="18"/>
          <w:szCs w:val="18"/>
        </w:rPr>
        <w:t xml:space="preserve">… </w:t>
      </w:r>
      <w:r w:rsidRPr="00021B52">
        <w:rPr>
          <w:sz w:val="18"/>
          <w:szCs w:val="18"/>
        </w:rPr>
        <w:t>It is advised to have additional opened/semi-opened questions in the PDM questionnaire, such as:</w:t>
      </w:r>
      <w:r w:rsidR="007E5A2F">
        <w:rPr>
          <w:sz w:val="18"/>
          <w:szCs w:val="18"/>
        </w:rPr>
        <w:t xml:space="preserve"> “</w:t>
      </w:r>
      <w:r w:rsidRPr="00021B52">
        <w:rPr>
          <w:sz w:val="18"/>
          <w:szCs w:val="18"/>
        </w:rPr>
        <w:t>What improvements in water/sanitation/hygiene are directly linked to the cash received?”</w:t>
      </w:r>
      <w:r w:rsidR="007E5A2F">
        <w:rPr>
          <w:sz w:val="18"/>
          <w:szCs w:val="18"/>
        </w:rPr>
        <w:t xml:space="preserve">, </w:t>
      </w:r>
      <w:r w:rsidRPr="00021B52">
        <w:rPr>
          <w:sz w:val="18"/>
          <w:szCs w:val="18"/>
        </w:rPr>
        <w:t>“If your access to water/sanitation/hygiene is not accord</w:t>
      </w:r>
      <w:r w:rsidR="007E5A2F">
        <w:rPr>
          <w:sz w:val="18"/>
          <w:szCs w:val="18"/>
        </w:rPr>
        <w:t>ing to standard, why is it so? (</w:t>
      </w:r>
      <w:r w:rsidRPr="00021B52">
        <w:rPr>
          <w:sz w:val="18"/>
          <w:szCs w:val="18"/>
        </w:rPr>
        <w:t>It is too far</w:t>
      </w:r>
      <w:r w:rsidR="007E5A2F">
        <w:rPr>
          <w:sz w:val="18"/>
          <w:szCs w:val="18"/>
        </w:rPr>
        <w:t xml:space="preserve">, I don’t like the taste/design, </w:t>
      </w:r>
      <w:proofErr w:type="gramStart"/>
      <w:r w:rsidRPr="00021B52">
        <w:rPr>
          <w:sz w:val="18"/>
          <w:szCs w:val="18"/>
        </w:rPr>
        <w:t>It</w:t>
      </w:r>
      <w:proofErr w:type="gramEnd"/>
      <w:r w:rsidRPr="00021B52">
        <w:rPr>
          <w:sz w:val="18"/>
          <w:szCs w:val="18"/>
        </w:rPr>
        <w:t xml:space="preserve"> is too expensive</w:t>
      </w:r>
      <w:r w:rsidR="007E5A2F">
        <w:rPr>
          <w:sz w:val="18"/>
          <w:szCs w:val="18"/>
        </w:rPr>
        <w:t xml:space="preserve">, </w:t>
      </w:r>
      <w:r w:rsidRPr="00021B52">
        <w:rPr>
          <w:sz w:val="18"/>
          <w:szCs w:val="18"/>
        </w:rPr>
        <w:t>I have b</w:t>
      </w:r>
      <w:r w:rsidR="007E5A2F">
        <w:rPr>
          <w:sz w:val="18"/>
          <w:szCs w:val="18"/>
        </w:rPr>
        <w:t xml:space="preserve">een prevented from accessing it, </w:t>
      </w:r>
      <w:proofErr w:type="spellStart"/>
      <w:r w:rsidRPr="00021B52">
        <w:rPr>
          <w:sz w:val="18"/>
          <w:szCs w:val="18"/>
        </w:rPr>
        <w:t>etc</w:t>
      </w:r>
      <w:proofErr w:type="spellEnd"/>
      <w:r w:rsidR="007E5A2F">
        <w:rPr>
          <w:sz w:val="18"/>
          <w:szCs w:val="18"/>
        </w:rPr>
        <w:t>…)”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249"/>
    <w:multiLevelType w:val="multilevel"/>
    <w:tmpl w:val="8FB46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71459"/>
    <w:multiLevelType w:val="multilevel"/>
    <w:tmpl w:val="7CD68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F4FB5"/>
    <w:multiLevelType w:val="multilevel"/>
    <w:tmpl w:val="418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3454"/>
    <w:multiLevelType w:val="hybridMultilevel"/>
    <w:tmpl w:val="5B3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812"/>
    <w:multiLevelType w:val="multilevel"/>
    <w:tmpl w:val="56602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B31DE"/>
    <w:multiLevelType w:val="multilevel"/>
    <w:tmpl w:val="B50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669D1"/>
    <w:multiLevelType w:val="multilevel"/>
    <w:tmpl w:val="8C6A5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5C0774E"/>
    <w:multiLevelType w:val="multilevel"/>
    <w:tmpl w:val="92DA2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5E87DA3"/>
    <w:multiLevelType w:val="multilevel"/>
    <w:tmpl w:val="5240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4424F"/>
    <w:multiLevelType w:val="multilevel"/>
    <w:tmpl w:val="3AFC5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1D1FCC"/>
    <w:multiLevelType w:val="multilevel"/>
    <w:tmpl w:val="207A6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2D4524"/>
    <w:multiLevelType w:val="multilevel"/>
    <w:tmpl w:val="54103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4361FB"/>
    <w:multiLevelType w:val="multilevel"/>
    <w:tmpl w:val="6C58E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2F445BD"/>
    <w:multiLevelType w:val="multilevel"/>
    <w:tmpl w:val="2834D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3222808"/>
    <w:multiLevelType w:val="multilevel"/>
    <w:tmpl w:val="DB7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3B23E9"/>
    <w:multiLevelType w:val="hybridMultilevel"/>
    <w:tmpl w:val="CA4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64C56"/>
    <w:multiLevelType w:val="multilevel"/>
    <w:tmpl w:val="80B8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B23D1"/>
    <w:multiLevelType w:val="hybridMultilevel"/>
    <w:tmpl w:val="5E369C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4E886EBA"/>
    <w:multiLevelType w:val="multilevel"/>
    <w:tmpl w:val="492A5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507C9F"/>
    <w:multiLevelType w:val="multilevel"/>
    <w:tmpl w:val="59BAB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0A219C1"/>
    <w:multiLevelType w:val="multilevel"/>
    <w:tmpl w:val="6BB43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72B5013"/>
    <w:multiLevelType w:val="multilevel"/>
    <w:tmpl w:val="761A3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C556400"/>
    <w:multiLevelType w:val="multilevel"/>
    <w:tmpl w:val="5B228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9D5A2D"/>
    <w:multiLevelType w:val="hybridMultilevel"/>
    <w:tmpl w:val="887C6556"/>
    <w:lvl w:ilvl="0" w:tplc="5EF8B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6A67"/>
    <w:multiLevelType w:val="hybridMultilevel"/>
    <w:tmpl w:val="B5086984"/>
    <w:lvl w:ilvl="0" w:tplc="9CC0F0F0">
      <w:numFmt w:val="bullet"/>
      <w:lvlText w:val="-"/>
      <w:lvlJc w:val="left"/>
      <w:pPr>
        <w:ind w:left="360" w:hanging="360"/>
      </w:pPr>
      <w:rPr>
        <w:rFonts w:ascii="Noto Sans Symbols" w:eastAsia="Times New Roman" w:hAnsi="Noto Sans Symbol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B1017"/>
    <w:multiLevelType w:val="hybridMultilevel"/>
    <w:tmpl w:val="EBB0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07992"/>
    <w:multiLevelType w:val="multilevel"/>
    <w:tmpl w:val="553E9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F107917"/>
    <w:multiLevelType w:val="hybridMultilevel"/>
    <w:tmpl w:val="5B6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C2464"/>
    <w:multiLevelType w:val="multilevel"/>
    <w:tmpl w:val="A23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7A2041"/>
    <w:multiLevelType w:val="multilevel"/>
    <w:tmpl w:val="42EE0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3"/>
  </w:num>
  <w:num w:numId="5">
    <w:abstractNumId w:val="19"/>
  </w:num>
  <w:num w:numId="6">
    <w:abstractNumId w:val="6"/>
  </w:num>
  <w:num w:numId="7">
    <w:abstractNumId w:val="20"/>
  </w:num>
  <w:num w:numId="8">
    <w:abstractNumId w:val="22"/>
  </w:num>
  <w:num w:numId="9">
    <w:abstractNumId w:val="21"/>
  </w:num>
  <w:num w:numId="10">
    <w:abstractNumId w:val="26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29"/>
  </w:num>
  <w:num w:numId="16">
    <w:abstractNumId w:val="0"/>
  </w:num>
  <w:num w:numId="17">
    <w:abstractNumId w:val="5"/>
  </w:num>
  <w:num w:numId="18">
    <w:abstractNumId w:val="25"/>
  </w:num>
  <w:num w:numId="19">
    <w:abstractNumId w:val="2"/>
  </w:num>
  <w:num w:numId="20">
    <w:abstractNumId w:val="28"/>
  </w:num>
  <w:num w:numId="21">
    <w:abstractNumId w:val="16"/>
  </w:num>
  <w:num w:numId="22">
    <w:abstractNumId w:val="4"/>
  </w:num>
  <w:num w:numId="23">
    <w:abstractNumId w:val="14"/>
  </w:num>
  <w:num w:numId="24">
    <w:abstractNumId w:val="8"/>
  </w:num>
  <w:num w:numId="25">
    <w:abstractNumId w:val="17"/>
  </w:num>
  <w:num w:numId="26">
    <w:abstractNumId w:val="15"/>
  </w:num>
  <w:num w:numId="27">
    <w:abstractNumId w:val="23"/>
  </w:num>
  <w:num w:numId="28">
    <w:abstractNumId w:val="24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7"/>
    <w:rsid w:val="00003572"/>
    <w:rsid w:val="00021B52"/>
    <w:rsid w:val="0008675E"/>
    <w:rsid w:val="00092DDB"/>
    <w:rsid w:val="000A5023"/>
    <w:rsid w:val="000B4055"/>
    <w:rsid w:val="000C4351"/>
    <w:rsid w:val="000F4AC1"/>
    <w:rsid w:val="000F4E9B"/>
    <w:rsid w:val="0010426C"/>
    <w:rsid w:val="00174A91"/>
    <w:rsid w:val="00196991"/>
    <w:rsid w:val="001B0BEC"/>
    <w:rsid w:val="00240777"/>
    <w:rsid w:val="00292CB0"/>
    <w:rsid w:val="002A5173"/>
    <w:rsid w:val="002B17D3"/>
    <w:rsid w:val="002B5A0B"/>
    <w:rsid w:val="002E2154"/>
    <w:rsid w:val="00303834"/>
    <w:rsid w:val="00353ACD"/>
    <w:rsid w:val="003607D0"/>
    <w:rsid w:val="00362CFB"/>
    <w:rsid w:val="003678DB"/>
    <w:rsid w:val="003B11D3"/>
    <w:rsid w:val="003F49B2"/>
    <w:rsid w:val="00402CC8"/>
    <w:rsid w:val="00415AC0"/>
    <w:rsid w:val="00472784"/>
    <w:rsid w:val="00507E94"/>
    <w:rsid w:val="005230B3"/>
    <w:rsid w:val="005433A9"/>
    <w:rsid w:val="0054617F"/>
    <w:rsid w:val="005C042A"/>
    <w:rsid w:val="005C1BAB"/>
    <w:rsid w:val="005E2871"/>
    <w:rsid w:val="00623991"/>
    <w:rsid w:val="00644227"/>
    <w:rsid w:val="0064422E"/>
    <w:rsid w:val="006545EE"/>
    <w:rsid w:val="00655936"/>
    <w:rsid w:val="0069258D"/>
    <w:rsid w:val="006A6B2E"/>
    <w:rsid w:val="006B7815"/>
    <w:rsid w:val="006C6D23"/>
    <w:rsid w:val="00713B75"/>
    <w:rsid w:val="00726276"/>
    <w:rsid w:val="00742A76"/>
    <w:rsid w:val="0075507E"/>
    <w:rsid w:val="007551B2"/>
    <w:rsid w:val="007644D7"/>
    <w:rsid w:val="007722A0"/>
    <w:rsid w:val="0077781A"/>
    <w:rsid w:val="007A7DDF"/>
    <w:rsid w:val="007D014D"/>
    <w:rsid w:val="007E5A2F"/>
    <w:rsid w:val="008238B0"/>
    <w:rsid w:val="00844E11"/>
    <w:rsid w:val="0085602C"/>
    <w:rsid w:val="008B154F"/>
    <w:rsid w:val="008E3679"/>
    <w:rsid w:val="00906F43"/>
    <w:rsid w:val="00956919"/>
    <w:rsid w:val="00973D2A"/>
    <w:rsid w:val="00A20D38"/>
    <w:rsid w:val="00A45924"/>
    <w:rsid w:val="00B1467D"/>
    <w:rsid w:val="00B27014"/>
    <w:rsid w:val="00B4558A"/>
    <w:rsid w:val="00B70A95"/>
    <w:rsid w:val="00B71F38"/>
    <w:rsid w:val="00BB6FF3"/>
    <w:rsid w:val="00BC35C3"/>
    <w:rsid w:val="00BE467A"/>
    <w:rsid w:val="00C07415"/>
    <w:rsid w:val="00C20B2F"/>
    <w:rsid w:val="00C853E5"/>
    <w:rsid w:val="00C96480"/>
    <w:rsid w:val="00CC06E8"/>
    <w:rsid w:val="00CF568E"/>
    <w:rsid w:val="00D82147"/>
    <w:rsid w:val="00D87BED"/>
    <w:rsid w:val="00DB7734"/>
    <w:rsid w:val="00DC7585"/>
    <w:rsid w:val="00E123A4"/>
    <w:rsid w:val="00E269C3"/>
    <w:rsid w:val="00E52739"/>
    <w:rsid w:val="00E60914"/>
    <w:rsid w:val="00E6394D"/>
    <w:rsid w:val="00E77A24"/>
    <w:rsid w:val="00EC0759"/>
    <w:rsid w:val="00ED0DF4"/>
    <w:rsid w:val="00ED6E52"/>
    <w:rsid w:val="00F41974"/>
    <w:rsid w:val="00F72B84"/>
    <w:rsid w:val="00FB698A"/>
    <w:rsid w:val="00FC719D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07EF"/>
  <w15:docId w15:val="{503BBC62-8E79-40AC-A064-6B6D388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F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3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99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9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4893-B33B-4055-AFBA-F9561A7A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Nicolini</dc:creator>
  <cp:lastModifiedBy>Franck Bouvet</cp:lastModifiedBy>
  <cp:revision>2</cp:revision>
  <dcterms:created xsi:type="dcterms:W3CDTF">2019-04-17T09:40:00Z</dcterms:created>
  <dcterms:modified xsi:type="dcterms:W3CDTF">2019-04-17T09:40:00Z</dcterms:modified>
</cp:coreProperties>
</file>