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2.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3.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4.xml" ContentType="application/vnd.openxmlformats-officedocument.drawingml.chart+xml"/>
  <Override PartName="/word/charts/style54.xml" ContentType="application/vnd.ms-office.chartstyle+xml"/>
  <Override PartName="/word/charts/colors54.xml" ContentType="application/vnd.ms-office.chartcolorstyle+xml"/>
  <Override PartName="/word/charts/chart55.xml" ContentType="application/vnd.openxmlformats-officedocument.drawingml.chart+xml"/>
  <Override PartName="/word/charts/style55.xml" ContentType="application/vnd.ms-office.chartstyle+xml"/>
  <Override PartName="/word/charts/colors55.xml" ContentType="application/vnd.ms-office.chartcolorstyle+xml"/>
  <Override PartName="/word/charts/chart56.xml" ContentType="application/vnd.openxmlformats-officedocument.drawingml.chart+xml"/>
  <Override PartName="/word/charts/style56.xml" ContentType="application/vnd.ms-office.chartstyle+xml"/>
  <Override PartName="/word/charts/colors56.xml" ContentType="application/vnd.ms-office.chartcolorstyle+xml"/>
  <Override PartName="/word/charts/chart57.xml" ContentType="application/vnd.openxmlformats-officedocument.drawingml.chart+xml"/>
  <Override PartName="/word/charts/style57.xml" ContentType="application/vnd.ms-office.chartstyle+xml"/>
  <Override PartName="/word/charts/colors57.xml" ContentType="application/vnd.ms-office.chartcolorstyle+xml"/>
  <Override PartName="/word/charts/chart58.xml" ContentType="application/vnd.openxmlformats-officedocument.drawingml.chart+xml"/>
  <Override PartName="/word/charts/style58.xml" ContentType="application/vnd.ms-office.chartstyle+xml"/>
  <Override PartName="/word/charts/colors58.xml" ContentType="application/vnd.ms-office.chartcolorstyle+xml"/>
  <Override PartName="/word/charts/chart59.xml" ContentType="application/vnd.openxmlformats-officedocument.drawingml.chart+xml"/>
  <Override PartName="/word/charts/style59.xml" ContentType="application/vnd.ms-office.chartstyle+xml"/>
  <Override PartName="/word/charts/colors59.xml" ContentType="application/vnd.ms-office.chartcolorstyle+xml"/>
  <Override PartName="/word/charts/chart60.xml" ContentType="application/vnd.openxmlformats-officedocument.drawingml.chart+xml"/>
  <Override PartName="/word/charts/style60.xml" ContentType="application/vnd.ms-office.chartstyle+xml"/>
  <Override PartName="/word/charts/colors60.xml" ContentType="application/vnd.ms-office.chartcolorstyle+xml"/>
  <Override PartName="/word/charts/chart61.xml" ContentType="application/vnd.openxmlformats-officedocument.drawingml.chart+xml"/>
  <Override PartName="/word/charts/style61.xml" ContentType="application/vnd.ms-office.chartstyle+xml"/>
  <Override PartName="/word/charts/colors61.xml" ContentType="application/vnd.ms-office.chartcolorstyle+xml"/>
  <Override PartName="/word/charts/chart62.xml" ContentType="application/vnd.openxmlformats-officedocument.drawingml.chart+xml"/>
  <Override PartName="/word/charts/style62.xml" ContentType="application/vnd.ms-office.chartstyle+xml"/>
  <Override PartName="/word/charts/colors62.xml" ContentType="application/vnd.ms-office.chartcolorstyle+xml"/>
  <Override PartName="/word/charts/chart63.xml" ContentType="application/vnd.openxmlformats-officedocument.drawingml.chart+xml"/>
  <Override PartName="/word/charts/style63.xml" ContentType="application/vnd.ms-office.chartstyle+xml"/>
  <Override PartName="/word/charts/colors63.xml" ContentType="application/vnd.ms-office.chartcolorstyle+xml"/>
  <Override PartName="/word/charts/chart64.xml" ContentType="application/vnd.openxmlformats-officedocument.drawingml.chart+xml"/>
  <Override PartName="/word/charts/style64.xml" ContentType="application/vnd.ms-office.chartstyle+xml"/>
  <Override PartName="/word/charts/colors64.xml" ContentType="application/vnd.ms-office.chartcolorstyle+xml"/>
  <Override PartName="/word/charts/chart65.xml" ContentType="application/vnd.openxmlformats-officedocument.drawingml.chart+xml"/>
  <Override PartName="/word/charts/style65.xml" ContentType="application/vnd.ms-office.chartstyle+xml"/>
  <Override PartName="/word/charts/colors65.xml" ContentType="application/vnd.ms-office.chartcolorstyle+xml"/>
  <Override PartName="/word/charts/chart66.xml" ContentType="application/vnd.openxmlformats-officedocument.drawingml.chart+xml"/>
  <Override PartName="/word/charts/style66.xml" ContentType="application/vnd.ms-office.chartstyle+xml"/>
  <Override PartName="/word/charts/colors6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DC" w:rsidRPr="00323F79" w:rsidRDefault="0021759E" w:rsidP="00360051">
      <w:pPr>
        <w:pStyle w:val="NoSpacing"/>
      </w:pPr>
      <w:r>
        <w:rPr>
          <w:rFonts w:ascii="Arial Narrow" w:eastAsiaTheme="majorEastAsia" w:hAnsi="Arial Narrow" w:cs="Arial"/>
          <w:b/>
          <w:caps/>
          <w:noProof/>
          <w:sz w:val="48"/>
          <w:szCs w:val="48"/>
          <w:lang w:eastAsia="en-US"/>
        </w:rPr>
        <w:drawing>
          <wp:anchor distT="0" distB="0" distL="114300" distR="114300" simplePos="0" relativeHeight="251662336" behindDoc="0" locked="0" layoutInCell="1" allowOverlap="1" wp14:anchorId="5EEA42B3" wp14:editId="5C0DC6EF">
            <wp:simplePos x="0" y="0"/>
            <wp:positionH relativeFrom="margin">
              <wp:align>left</wp:align>
            </wp:positionH>
            <wp:positionV relativeFrom="page">
              <wp:posOffset>628015</wp:posOffset>
            </wp:positionV>
            <wp:extent cx="2187575" cy="786765"/>
            <wp:effectExtent l="0" t="0" r="317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7575" cy="786765"/>
                    </a:xfrm>
                    <a:prstGeom prst="rect">
                      <a:avLst/>
                    </a:prstGeom>
                    <a:noFill/>
                  </pic:spPr>
                </pic:pic>
              </a:graphicData>
            </a:graphic>
            <wp14:sizeRelH relativeFrom="page">
              <wp14:pctWidth>0</wp14:pctWidth>
            </wp14:sizeRelH>
            <wp14:sizeRelV relativeFrom="page">
              <wp14:pctHeight>0</wp14:pctHeight>
            </wp14:sizeRelV>
          </wp:anchor>
        </w:drawing>
      </w:r>
    </w:p>
    <w:p w:rsidR="0021759E" w:rsidRDefault="0021759E"/>
    <w:p w:rsidR="00233ADC" w:rsidRPr="0021759E" w:rsidRDefault="00233ADC" w:rsidP="0021759E"/>
    <w:sdt>
      <w:sdtPr>
        <w:rPr>
          <w:rFonts w:ascii="Arial Narrow" w:eastAsiaTheme="majorEastAsia" w:hAnsi="Arial Narrow" w:cs="Arial"/>
          <w:b/>
          <w:caps/>
          <w:sz w:val="48"/>
          <w:szCs w:val="48"/>
        </w:rPr>
        <w:id w:val="-1049751064"/>
        <w:docPartObj>
          <w:docPartGallery w:val="Cover Pages"/>
          <w:docPartUnique/>
        </w:docPartObj>
      </w:sdtPr>
      <w:sdtEndPr>
        <w:rPr>
          <w:rFonts w:eastAsiaTheme="minorHAnsi" w:cstheme="minorBidi"/>
          <w:b w:val="0"/>
          <w:caps w:val="0"/>
          <w:sz w:val="22"/>
          <w:szCs w:val="22"/>
          <w:lang w:val="en-GB" w:eastAsia="en-US"/>
        </w:rPr>
      </w:sdtEndPr>
      <w:sdtContent>
        <w:tbl>
          <w:tblPr>
            <w:tblW w:w="5000" w:type="pct"/>
            <w:jc w:val="center"/>
            <w:tblLook w:val="04A0" w:firstRow="1" w:lastRow="0" w:firstColumn="1" w:lastColumn="0" w:noHBand="0" w:noVBand="1"/>
          </w:tblPr>
          <w:tblGrid>
            <w:gridCol w:w="10466"/>
          </w:tblGrid>
          <w:tr w:rsidR="00233ADC" w:rsidRPr="00323F79" w:rsidTr="003F2D46">
            <w:trPr>
              <w:trHeight w:val="2880"/>
              <w:jc w:val="center"/>
            </w:trPr>
            <w:tc>
              <w:tcPr>
                <w:tcW w:w="5000" w:type="pct"/>
              </w:tcPr>
              <w:p w:rsidR="00DE7B0B" w:rsidRPr="00323F79" w:rsidRDefault="003F2D46" w:rsidP="00DE7B0B">
                <w:pPr>
                  <w:pStyle w:val="NoSpacing"/>
                  <w:jc w:val="center"/>
                  <w:rPr>
                    <w:rFonts w:ascii="Arial Narrow" w:eastAsiaTheme="majorEastAsia" w:hAnsi="Arial Narrow" w:cs="Arial"/>
                    <w:b/>
                    <w:caps/>
                    <w:noProof/>
                    <w:sz w:val="48"/>
                    <w:szCs w:val="48"/>
                    <w:lang w:eastAsia="en-US"/>
                  </w:rPr>
                </w:pPr>
                <w:r>
                  <w:rPr>
                    <w:rFonts w:ascii="Arial Narrow" w:eastAsiaTheme="majorEastAsia" w:hAnsi="Arial Narrow" w:cs="Arial"/>
                    <w:b/>
                    <w:caps/>
                    <w:noProof/>
                    <w:sz w:val="48"/>
                    <w:szCs w:val="48"/>
                    <w:lang w:eastAsia="en-US"/>
                  </w:rPr>
                  <w:drawing>
                    <wp:inline distT="0" distB="0" distL="0" distR="0" wp14:anchorId="421DEC9B" wp14:editId="110AC7FC">
                      <wp:extent cx="6645910" cy="4430395"/>
                      <wp:effectExtent l="0" t="0" r="254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3C3A53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5910" cy="4430395"/>
                              </a:xfrm>
                              <a:prstGeom prst="rect">
                                <a:avLst/>
                              </a:prstGeom>
                            </pic:spPr>
                          </pic:pic>
                        </a:graphicData>
                      </a:graphic>
                    </wp:inline>
                  </w:drawing>
                </w:r>
              </w:p>
            </w:tc>
          </w:tr>
          <w:tr w:rsidR="00233ADC" w:rsidRPr="00323F79" w:rsidTr="003F2D46">
            <w:trPr>
              <w:trHeight w:val="720"/>
              <w:jc w:val="center"/>
            </w:trPr>
            <w:tc>
              <w:tcPr>
                <w:tcW w:w="5000" w:type="pct"/>
                <w:vAlign w:val="center"/>
              </w:tcPr>
              <w:p w:rsidR="00233ADC" w:rsidRPr="00323F79" w:rsidRDefault="00233ADC" w:rsidP="003F2D46">
                <w:pPr>
                  <w:pStyle w:val="NoSpacing"/>
                  <w:rPr>
                    <w:rFonts w:ascii="Arial Narrow" w:eastAsiaTheme="majorEastAsia" w:hAnsi="Arial Narrow" w:cs="Arial"/>
                    <w:i/>
                    <w:color w:val="009999"/>
                    <w:sz w:val="28"/>
                    <w:szCs w:val="40"/>
                  </w:rPr>
                </w:pPr>
              </w:p>
            </w:tc>
          </w:tr>
          <w:tr w:rsidR="00233ADC" w:rsidRPr="0075548A" w:rsidTr="003F2D46">
            <w:trPr>
              <w:trHeight w:val="360"/>
              <w:jc w:val="center"/>
            </w:trPr>
            <w:tc>
              <w:tcPr>
                <w:tcW w:w="5000" w:type="pct"/>
                <w:vAlign w:val="center"/>
              </w:tcPr>
              <w:p w:rsidR="00233ADC" w:rsidRPr="0075548A" w:rsidRDefault="00233ADC">
                <w:pPr>
                  <w:pStyle w:val="NoSpacing"/>
                  <w:jc w:val="center"/>
                  <w:rPr>
                    <w:rFonts w:ascii="Arial Narrow" w:hAnsi="Arial Narrow" w:cs="Arial"/>
                    <w:color w:val="666666"/>
                  </w:rPr>
                </w:pPr>
              </w:p>
              <w:p w:rsidR="00233ADC" w:rsidRPr="0075548A" w:rsidRDefault="00233ADC" w:rsidP="00DE7B0B">
                <w:pPr>
                  <w:pStyle w:val="NoSpacing"/>
                  <w:rPr>
                    <w:rFonts w:ascii="Arial Narrow" w:hAnsi="Arial Narrow" w:cs="Arial"/>
                    <w:color w:val="666666"/>
                  </w:rPr>
                </w:pPr>
              </w:p>
              <w:p w:rsidR="00233ADC" w:rsidRPr="0075548A" w:rsidRDefault="00233ADC" w:rsidP="00A30B3E">
                <w:pPr>
                  <w:pStyle w:val="NoSpacing"/>
                  <w:rPr>
                    <w:rFonts w:ascii="Arial Narrow" w:hAnsi="Arial Narrow" w:cs="Arial"/>
                    <w:color w:val="666666"/>
                  </w:rPr>
                </w:pPr>
              </w:p>
              <w:p w:rsidR="00BA3739" w:rsidRPr="0075548A" w:rsidRDefault="00BA3739" w:rsidP="00DE7B0B">
                <w:pPr>
                  <w:pStyle w:val="NoSpacing"/>
                  <w:jc w:val="center"/>
                  <w:rPr>
                    <w:rFonts w:ascii="Arial Narrow" w:hAnsi="Arial Narrow" w:cs="Arial"/>
                    <w:b/>
                    <w:color w:val="FFFFFF" w:themeColor="background1"/>
                  </w:rPr>
                </w:pPr>
              </w:p>
              <w:p w:rsidR="00A30B3E" w:rsidRPr="0075548A" w:rsidRDefault="0013539B" w:rsidP="00A30B3E">
                <w:pPr>
                  <w:pStyle w:val="NoSpacing"/>
                  <w:ind w:right="-873"/>
                  <w:rPr>
                    <w:rFonts w:ascii="Arial Narrow" w:eastAsiaTheme="majorEastAsia" w:hAnsi="Arial Narrow" w:cs="Arial"/>
                    <w:b/>
                    <w:caps/>
                    <w:color w:val="006666"/>
                    <w:sz w:val="68"/>
                    <w:szCs w:val="68"/>
                  </w:rPr>
                </w:pPr>
                <w:r>
                  <w:rPr>
                    <w:rFonts w:ascii="Arial Narrow" w:eastAsiaTheme="majorEastAsia" w:hAnsi="Arial Narrow" w:cs="Arial"/>
                    <w:b/>
                    <w:caps/>
                    <w:color w:val="006666"/>
                    <w:sz w:val="68"/>
                    <w:szCs w:val="68"/>
                  </w:rPr>
                  <w:t>Gaza WASH Needs Overview</w:t>
                </w:r>
              </w:p>
              <w:p w:rsidR="00031D39" w:rsidRPr="0075548A" w:rsidRDefault="0013539B" w:rsidP="00031D39">
                <w:pPr>
                  <w:spacing w:before="240"/>
                  <w:rPr>
                    <w:noProof/>
                    <w:color w:val="006462" w:themeColor="accent1"/>
                    <w:sz w:val="40"/>
                    <w:lang w:eastAsia="en-GB"/>
                  </w:rPr>
                </w:pPr>
                <w:r>
                  <w:rPr>
                    <w:noProof/>
                    <w:color w:val="006462" w:themeColor="accent1"/>
                    <w:sz w:val="40"/>
                    <w:lang w:eastAsia="en-GB"/>
                  </w:rPr>
                  <w:t>WASH Cluster Palestine</w:t>
                </w:r>
              </w:p>
              <w:p w:rsidR="00233ADC" w:rsidRPr="003F2D46" w:rsidRDefault="00031D39" w:rsidP="003F2D46">
                <w:pPr>
                  <w:spacing w:before="240"/>
                  <w:rPr>
                    <w:color w:val="006462" w:themeColor="accent1"/>
                    <w:sz w:val="40"/>
                  </w:rPr>
                </w:pPr>
                <w:r w:rsidRPr="0075548A">
                  <w:rPr>
                    <w:noProof/>
                    <w:color w:val="006462" w:themeColor="accent1"/>
                    <w:sz w:val="40"/>
                    <w:lang w:eastAsia="en-GB"/>
                  </w:rPr>
                  <w:t>Version</w:t>
                </w:r>
                <w:r w:rsidR="0013539B">
                  <w:rPr>
                    <w:noProof/>
                    <w:color w:val="006462" w:themeColor="accent1"/>
                    <w:sz w:val="40"/>
                    <w:lang w:eastAsia="en-GB"/>
                  </w:rPr>
                  <w:t xml:space="preserve"> 1.0</w:t>
                </w:r>
                <w:r w:rsidRPr="0075548A">
                  <w:rPr>
                    <w:noProof/>
                    <w:color w:val="006462" w:themeColor="accent1"/>
                    <w:sz w:val="40"/>
                    <w:lang w:eastAsia="en-GB"/>
                  </w:rPr>
                  <w:t xml:space="preserve">, </w:t>
                </w:r>
                <w:r w:rsidR="0013539B">
                  <w:rPr>
                    <w:noProof/>
                    <w:color w:val="006462" w:themeColor="accent1"/>
                    <w:sz w:val="40"/>
                    <w:lang w:eastAsia="en-GB"/>
                  </w:rPr>
                  <w:t>19 September 2016</w:t>
                </w:r>
                <w:r w:rsidR="00BA2340" w:rsidRPr="0075548A">
                  <w:rPr>
                    <w:rFonts w:cs="Arial"/>
                    <w:b/>
                    <w:color w:val="FFFFFF" w:themeColor="background1"/>
                    <w:sz w:val="28"/>
                    <w:szCs w:val="28"/>
                  </w:rPr>
                  <w:t>f MM, YYYY</w:t>
                </w:r>
              </w:p>
              <w:p w:rsidR="00233ADC" w:rsidRPr="0075548A" w:rsidRDefault="00233ADC" w:rsidP="000A1AF2">
                <w:pPr>
                  <w:pStyle w:val="NoSpacing"/>
                  <w:rPr>
                    <w:rFonts w:ascii="Arial Narrow" w:hAnsi="Arial Narrow" w:cs="Arial"/>
                    <w:color w:val="666666"/>
                  </w:rPr>
                </w:pPr>
              </w:p>
            </w:tc>
          </w:tr>
          <w:tr w:rsidR="00233ADC" w:rsidRPr="0075548A" w:rsidTr="003F2D46">
            <w:trPr>
              <w:trHeight w:val="360"/>
              <w:jc w:val="center"/>
            </w:trPr>
            <w:tc>
              <w:tcPr>
                <w:tcW w:w="5000" w:type="pct"/>
                <w:vAlign w:val="center"/>
              </w:tcPr>
              <w:p w:rsidR="00233ADC" w:rsidRPr="0075548A" w:rsidRDefault="009362C7" w:rsidP="007F5D88">
                <w:pPr>
                  <w:pStyle w:val="NoSpacing"/>
                  <w:rPr>
                    <w:rFonts w:ascii="Arial Narrow" w:hAnsi="Arial Narrow"/>
                    <w:b/>
                    <w:bCs/>
                  </w:rPr>
                </w:pPr>
              </w:p>
            </w:tc>
          </w:tr>
        </w:tbl>
      </w:sdtContent>
    </w:sdt>
    <w:p w:rsidR="00243E8F" w:rsidRPr="0075548A" w:rsidRDefault="00BA2340" w:rsidP="004837FC">
      <w:pPr>
        <w:pStyle w:val="heading1wash"/>
        <w:rPr>
          <w:rStyle w:val="IntenseEmphasis"/>
          <w:rFonts w:cstheme="majorBidi"/>
          <w:b/>
          <w:bCs/>
          <w:i w:val="0"/>
          <w:iCs w:val="0"/>
          <w:color w:val="004A48" w:themeColor="accent1" w:themeShade="BF"/>
        </w:rPr>
      </w:pPr>
      <w:r w:rsidRPr="0075548A">
        <w:rPr>
          <w:rStyle w:val="IntenseEmphasis"/>
          <w:i w:val="0"/>
          <w:iCs w:val="0"/>
          <w:color w:val="004A48" w:themeColor="accent1" w:themeShade="BF"/>
        </w:rPr>
        <w:br w:type="page"/>
      </w:r>
      <w:bookmarkStart w:id="0" w:name="_Toc463891921"/>
      <w:r w:rsidR="00243E8F" w:rsidRPr="0075548A">
        <w:rPr>
          <w:rStyle w:val="IntenseEmphasis"/>
          <w:b/>
          <w:bCs/>
          <w:i w:val="0"/>
          <w:iCs w:val="0"/>
          <w:color w:val="006666"/>
        </w:rPr>
        <w:lastRenderedPageBreak/>
        <w:t>C</w:t>
      </w:r>
      <w:r w:rsidR="00253FEA" w:rsidRPr="0075548A">
        <w:rPr>
          <w:rStyle w:val="IntenseEmphasis"/>
          <w:b/>
          <w:bCs/>
          <w:i w:val="0"/>
          <w:iCs w:val="0"/>
          <w:color w:val="006666"/>
        </w:rPr>
        <w:t>ONTENTS</w:t>
      </w:r>
      <w:bookmarkEnd w:id="0"/>
    </w:p>
    <w:p w:rsidR="002A4AE2" w:rsidRDefault="00396515">
      <w:pPr>
        <w:pStyle w:val="TOC1"/>
        <w:rPr>
          <w:rFonts w:asciiTheme="minorHAnsi" w:hAnsiTheme="minorHAnsi"/>
          <w:noProof/>
          <w:lang w:eastAsia="en-US"/>
        </w:rPr>
      </w:pPr>
      <w:r>
        <w:rPr>
          <w:rStyle w:val="IntenseEmphasis"/>
          <w:rFonts w:cs="Arial"/>
          <w:b w:val="0"/>
          <w:i w:val="0"/>
          <w:color w:val="0D0D0D" w:themeColor="text1" w:themeTint="F2"/>
        </w:rPr>
        <w:fldChar w:fldCharType="begin"/>
      </w:r>
      <w:r>
        <w:rPr>
          <w:rStyle w:val="IntenseEmphasis"/>
          <w:rFonts w:cs="Arial"/>
          <w:b w:val="0"/>
          <w:i w:val="0"/>
          <w:color w:val="0D0D0D" w:themeColor="text1" w:themeTint="F2"/>
        </w:rPr>
        <w:instrText xml:space="preserve"> TOC \o "1-2" \h \z \u </w:instrText>
      </w:r>
      <w:r>
        <w:rPr>
          <w:rStyle w:val="IntenseEmphasis"/>
          <w:rFonts w:cs="Arial"/>
          <w:b w:val="0"/>
          <w:i w:val="0"/>
          <w:color w:val="0D0D0D" w:themeColor="text1" w:themeTint="F2"/>
        </w:rPr>
        <w:fldChar w:fldCharType="separate"/>
      </w:r>
      <w:hyperlink w:anchor="_Toc463891921" w:history="1">
        <w:r w:rsidR="002A4AE2" w:rsidRPr="006E0247">
          <w:rPr>
            <w:rStyle w:val="Hyperlink"/>
            <w:noProof/>
          </w:rPr>
          <w:t>CONTENTS</w:t>
        </w:r>
        <w:r w:rsidR="002A4AE2">
          <w:rPr>
            <w:noProof/>
            <w:webHidden/>
          </w:rPr>
          <w:tab/>
        </w:r>
        <w:r w:rsidR="002A4AE2">
          <w:rPr>
            <w:noProof/>
            <w:webHidden/>
          </w:rPr>
          <w:fldChar w:fldCharType="begin"/>
        </w:r>
        <w:r w:rsidR="002A4AE2">
          <w:rPr>
            <w:noProof/>
            <w:webHidden/>
          </w:rPr>
          <w:instrText xml:space="preserve"> PAGEREF _Toc463891921 \h </w:instrText>
        </w:r>
        <w:r w:rsidR="002A4AE2">
          <w:rPr>
            <w:noProof/>
            <w:webHidden/>
          </w:rPr>
        </w:r>
        <w:r w:rsidR="002A4AE2">
          <w:rPr>
            <w:noProof/>
            <w:webHidden/>
          </w:rPr>
          <w:fldChar w:fldCharType="separate"/>
        </w:r>
        <w:r w:rsidR="002A4AE2">
          <w:rPr>
            <w:noProof/>
            <w:webHidden/>
          </w:rPr>
          <w:t>2</w:t>
        </w:r>
        <w:r w:rsidR="002A4AE2">
          <w:rPr>
            <w:noProof/>
            <w:webHidden/>
          </w:rPr>
          <w:fldChar w:fldCharType="end"/>
        </w:r>
      </w:hyperlink>
    </w:p>
    <w:p w:rsidR="002A4AE2" w:rsidRDefault="009362C7">
      <w:pPr>
        <w:pStyle w:val="TOC1"/>
        <w:rPr>
          <w:rFonts w:asciiTheme="minorHAnsi" w:hAnsiTheme="minorHAnsi"/>
          <w:noProof/>
          <w:lang w:eastAsia="en-US"/>
        </w:rPr>
      </w:pPr>
      <w:hyperlink w:anchor="_Toc463891922" w:history="1">
        <w:r w:rsidR="002A4AE2" w:rsidRPr="006E0247">
          <w:rPr>
            <w:rStyle w:val="Hyperlink"/>
            <w:noProof/>
          </w:rPr>
          <w:t>List of acronyms</w:t>
        </w:r>
        <w:r w:rsidR="002A4AE2">
          <w:rPr>
            <w:noProof/>
            <w:webHidden/>
          </w:rPr>
          <w:tab/>
        </w:r>
        <w:r w:rsidR="002A4AE2">
          <w:rPr>
            <w:noProof/>
            <w:webHidden/>
          </w:rPr>
          <w:fldChar w:fldCharType="begin"/>
        </w:r>
        <w:r w:rsidR="002A4AE2">
          <w:rPr>
            <w:noProof/>
            <w:webHidden/>
          </w:rPr>
          <w:instrText xml:space="preserve"> PAGEREF _Toc463891922 \h </w:instrText>
        </w:r>
        <w:r w:rsidR="002A4AE2">
          <w:rPr>
            <w:noProof/>
            <w:webHidden/>
          </w:rPr>
        </w:r>
        <w:r w:rsidR="002A4AE2">
          <w:rPr>
            <w:noProof/>
            <w:webHidden/>
          </w:rPr>
          <w:fldChar w:fldCharType="separate"/>
        </w:r>
        <w:r w:rsidR="002A4AE2">
          <w:rPr>
            <w:noProof/>
            <w:webHidden/>
          </w:rPr>
          <w:t>3</w:t>
        </w:r>
        <w:r w:rsidR="002A4AE2">
          <w:rPr>
            <w:noProof/>
            <w:webHidden/>
          </w:rPr>
          <w:fldChar w:fldCharType="end"/>
        </w:r>
      </w:hyperlink>
    </w:p>
    <w:p w:rsidR="002A4AE2" w:rsidRDefault="009362C7">
      <w:pPr>
        <w:pStyle w:val="TOC1"/>
        <w:rPr>
          <w:rFonts w:asciiTheme="minorHAnsi" w:hAnsiTheme="minorHAnsi"/>
          <w:noProof/>
          <w:lang w:eastAsia="en-US"/>
        </w:rPr>
      </w:pPr>
      <w:hyperlink w:anchor="_Toc463891923" w:history="1">
        <w:r w:rsidR="002A4AE2" w:rsidRPr="006E0247">
          <w:rPr>
            <w:rStyle w:val="Hyperlink"/>
            <w:noProof/>
          </w:rPr>
          <w:t>List of figures, tables and maps</w:t>
        </w:r>
        <w:r w:rsidR="002A4AE2">
          <w:rPr>
            <w:noProof/>
            <w:webHidden/>
          </w:rPr>
          <w:tab/>
        </w:r>
        <w:r w:rsidR="002A4AE2">
          <w:rPr>
            <w:noProof/>
            <w:webHidden/>
          </w:rPr>
          <w:fldChar w:fldCharType="begin"/>
        </w:r>
        <w:r w:rsidR="002A4AE2">
          <w:rPr>
            <w:noProof/>
            <w:webHidden/>
          </w:rPr>
          <w:instrText xml:space="preserve"> PAGEREF _Toc463891923 \h </w:instrText>
        </w:r>
        <w:r w:rsidR="002A4AE2">
          <w:rPr>
            <w:noProof/>
            <w:webHidden/>
          </w:rPr>
        </w:r>
        <w:r w:rsidR="002A4AE2">
          <w:rPr>
            <w:noProof/>
            <w:webHidden/>
          </w:rPr>
          <w:fldChar w:fldCharType="separate"/>
        </w:r>
        <w:r w:rsidR="002A4AE2">
          <w:rPr>
            <w:noProof/>
            <w:webHidden/>
          </w:rPr>
          <w:t>3</w:t>
        </w:r>
        <w:r w:rsidR="002A4AE2">
          <w:rPr>
            <w:noProof/>
            <w:webHidden/>
          </w:rPr>
          <w:fldChar w:fldCharType="end"/>
        </w:r>
      </w:hyperlink>
    </w:p>
    <w:p w:rsidR="002A4AE2" w:rsidRDefault="009362C7">
      <w:pPr>
        <w:pStyle w:val="TOC1"/>
        <w:rPr>
          <w:rFonts w:asciiTheme="minorHAnsi" w:hAnsiTheme="minorHAnsi"/>
          <w:noProof/>
          <w:lang w:eastAsia="en-US"/>
        </w:rPr>
      </w:pPr>
      <w:hyperlink w:anchor="_Toc463891924" w:history="1">
        <w:r w:rsidR="002A4AE2" w:rsidRPr="006E0247">
          <w:rPr>
            <w:rStyle w:val="Hyperlink"/>
            <w:noProof/>
          </w:rPr>
          <w:t>SECTION I – BACKGROUND &amp; CONTEXT</w:t>
        </w:r>
        <w:r w:rsidR="002A4AE2">
          <w:rPr>
            <w:noProof/>
            <w:webHidden/>
          </w:rPr>
          <w:tab/>
        </w:r>
        <w:r w:rsidR="002A4AE2">
          <w:rPr>
            <w:noProof/>
            <w:webHidden/>
          </w:rPr>
          <w:fldChar w:fldCharType="begin"/>
        </w:r>
        <w:r w:rsidR="002A4AE2">
          <w:rPr>
            <w:noProof/>
            <w:webHidden/>
          </w:rPr>
          <w:instrText xml:space="preserve"> PAGEREF _Toc463891924 \h </w:instrText>
        </w:r>
        <w:r w:rsidR="002A4AE2">
          <w:rPr>
            <w:noProof/>
            <w:webHidden/>
          </w:rPr>
        </w:r>
        <w:r w:rsidR="002A4AE2">
          <w:rPr>
            <w:noProof/>
            <w:webHidden/>
          </w:rPr>
          <w:fldChar w:fldCharType="separate"/>
        </w:r>
        <w:r w:rsidR="002A4AE2">
          <w:rPr>
            <w:noProof/>
            <w:webHidden/>
          </w:rPr>
          <w:t>4</w:t>
        </w:r>
        <w:r w:rsidR="002A4AE2">
          <w:rPr>
            <w:noProof/>
            <w:webHidden/>
          </w:rPr>
          <w:fldChar w:fldCharType="end"/>
        </w:r>
      </w:hyperlink>
    </w:p>
    <w:p w:rsidR="002A4AE2" w:rsidRDefault="009362C7">
      <w:pPr>
        <w:pStyle w:val="TOC1"/>
        <w:rPr>
          <w:rFonts w:asciiTheme="minorHAnsi" w:hAnsiTheme="minorHAnsi"/>
          <w:noProof/>
          <w:lang w:eastAsia="en-US"/>
        </w:rPr>
      </w:pPr>
      <w:hyperlink w:anchor="_Toc463891925" w:history="1">
        <w:r w:rsidR="002A4AE2" w:rsidRPr="006E0247">
          <w:rPr>
            <w:rStyle w:val="Hyperlink"/>
            <w:noProof/>
          </w:rPr>
          <w:t>SECTION II – IMPACT</w:t>
        </w:r>
        <w:r w:rsidR="002A4AE2">
          <w:rPr>
            <w:noProof/>
            <w:webHidden/>
          </w:rPr>
          <w:tab/>
        </w:r>
        <w:r w:rsidR="002A4AE2">
          <w:rPr>
            <w:noProof/>
            <w:webHidden/>
          </w:rPr>
          <w:fldChar w:fldCharType="begin"/>
        </w:r>
        <w:r w:rsidR="002A4AE2">
          <w:rPr>
            <w:noProof/>
            <w:webHidden/>
          </w:rPr>
          <w:instrText xml:space="preserve"> PAGEREF _Toc463891925 \h </w:instrText>
        </w:r>
        <w:r w:rsidR="002A4AE2">
          <w:rPr>
            <w:noProof/>
            <w:webHidden/>
          </w:rPr>
        </w:r>
        <w:r w:rsidR="002A4AE2">
          <w:rPr>
            <w:noProof/>
            <w:webHidden/>
          </w:rPr>
          <w:fldChar w:fldCharType="separate"/>
        </w:r>
        <w:r w:rsidR="002A4AE2">
          <w:rPr>
            <w:noProof/>
            <w:webHidden/>
          </w:rPr>
          <w:t>5</w:t>
        </w:r>
        <w:r w:rsidR="002A4AE2">
          <w:rPr>
            <w:noProof/>
            <w:webHidden/>
          </w:rPr>
          <w:fldChar w:fldCharType="end"/>
        </w:r>
      </w:hyperlink>
    </w:p>
    <w:p w:rsidR="002A4AE2" w:rsidRDefault="009362C7">
      <w:pPr>
        <w:pStyle w:val="TOC1"/>
        <w:rPr>
          <w:rFonts w:asciiTheme="minorHAnsi" w:hAnsiTheme="minorHAnsi"/>
          <w:noProof/>
          <w:lang w:eastAsia="en-US"/>
        </w:rPr>
      </w:pPr>
      <w:hyperlink w:anchor="_Toc463891926" w:history="1">
        <w:r w:rsidR="002A4AE2" w:rsidRPr="006E0247">
          <w:rPr>
            <w:rStyle w:val="Hyperlink"/>
            <w:noProof/>
          </w:rPr>
          <w:t>WATER</w:t>
        </w:r>
        <w:r w:rsidR="002A4AE2">
          <w:rPr>
            <w:noProof/>
            <w:webHidden/>
          </w:rPr>
          <w:tab/>
        </w:r>
        <w:r w:rsidR="002A4AE2">
          <w:rPr>
            <w:noProof/>
            <w:webHidden/>
          </w:rPr>
          <w:fldChar w:fldCharType="begin"/>
        </w:r>
        <w:r w:rsidR="002A4AE2">
          <w:rPr>
            <w:noProof/>
            <w:webHidden/>
          </w:rPr>
          <w:instrText xml:space="preserve"> PAGEREF _Toc463891926 \h </w:instrText>
        </w:r>
        <w:r w:rsidR="002A4AE2">
          <w:rPr>
            <w:noProof/>
            <w:webHidden/>
          </w:rPr>
        </w:r>
        <w:r w:rsidR="002A4AE2">
          <w:rPr>
            <w:noProof/>
            <w:webHidden/>
          </w:rPr>
          <w:fldChar w:fldCharType="separate"/>
        </w:r>
        <w:r w:rsidR="002A4AE2">
          <w:rPr>
            <w:noProof/>
            <w:webHidden/>
          </w:rPr>
          <w:t>5</w:t>
        </w:r>
        <w:r w:rsidR="002A4AE2">
          <w:rPr>
            <w:noProof/>
            <w:webHidden/>
          </w:rPr>
          <w:fldChar w:fldCharType="end"/>
        </w:r>
      </w:hyperlink>
    </w:p>
    <w:p w:rsidR="002A4AE2" w:rsidRDefault="009362C7">
      <w:pPr>
        <w:pStyle w:val="TOC2"/>
        <w:tabs>
          <w:tab w:val="right" w:leader="dot" w:pos="10456"/>
        </w:tabs>
        <w:rPr>
          <w:rFonts w:asciiTheme="minorHAnsi" w:hAnsiTheme="minorHAnsi"/>
          <w:noProof/>
          <w:lang w:eastAsia="en-US"/>
        </w:rPr>
      </w:pPr>
      <w:hyperlink w:anchor="_Toc463891927" w:history="1">
        <w:r w:rsidR="002A4AE2" w:rsidRPr="006E0247">
          <w:rPr>
            <w:rStyle w:val="Hyperlink"/>
            <w:noProof/>
          </w:rPr>
          <w:t>JMP 1995 – 2015 trend</w:t>
        </w:r>
        <w:r w:rsidR="002A4AE2">
          <w:rPr>
            <w:noProof/>
            <w:webHidden/>
          </w:rPr>
          <w:tab/>
        </w:r>
        <w:r w:rsidR="002A4AE2">
          <w:rPr>
            <w:noProof/>
            <w:webHidden/>
          </w:rPr>
          <w:fldChar w:fldCharType="begin"/>
        </w:r>
        <w:r w:rsidR="002A4AE2">
          <w:rPr>
            <w:noProof/>
            <w:webHidden/>
          </w:rPr>
          <w:instrText xml:space="preserve"> PAGEREF _Toc463891927 \h </w:instrText>
        </w:r>
        <w:r w:rsidR="002A4AE2">
          <w:rPr>
            <w:noProof/>
            <w:webHidden/>
          </w:rPr>
        </w:r>
        <w:r w:rsidR="002A4AE2">
          <w:rPr>
            <w:noProof/>
            <w:webHidden/>
          </w:rPr>
          <w:fldChar w:fldCharType="separate"/>
        </w:r>
        <w:r w:rsidR="002A4AE2">
          <w:rPr>
            <w:noProof/>
            <w:webHidden/>
          </w:rPr>
          <w:t>5</w:t>
        </w:r>
        <w:r w:rsidR="002A4AE2">
          <w:rPr>
            <w:noProof/>
            <w:webHidden/>
          </w:rPr>
          <w:fldChar w:fldCharType="end"/>
        </w:r>
      </w:hyperlink>
    </w:p>
    <w:p w:rsidR="002A4AE2" w:rsidRDefault="009362C7">
      <w:pPr>
        <w:pStyle w:val="TOC2"/>
        <w:tabs>
          <w:tab w:val="right" w:leader="dot" w:pos="10456"/>
        </w:tabs>
        <w:rPr>
          <w:rFonts w:asciiTheme="minorHAnsi" w:hAnsiTheme="minorHAnsi"/>
          <w:noProof/>
          <w:lang w:eastAsia="en-US"/>
        </w:rPr>
      </w:pPr>
      <w:hyperlink w:anchor="_Toc463891928" w:history="1">
        <w:r w:rsidR="002A4AE2" w:rsidRPr="006E0247">
          <w:rPr>
            <w:rStyle w:val="Hyperlink"/>
            <w:noProof/>
          </w:rPr>
          <w:t>Groundwater Resources</w:t>
        </w:r>
        <w:r w:rsidR="002A4AE2">
          <w:rPr>
            <w:noProof/>
            <w:webHidden/>
          </w:rPr>
          <w:tab/>
        </w:r>
        <w:r w:rsidR="002A4AE2">
          <w:rPr>
            <w:noProof/>
            <w:webHidden/>
          </w:rPr>
          <w:fldChar w:fldCharType="begin"/>
        </w:r>
        <w:r w:rsidR="002A4AE2">
          <w:rPr>
            <w:noProof/>
            <w:webHidden/>
          </w:rPr>
          <w:instrText xml:space="preserve"> PAGEREF _Toc463891928 \h </w:instrText>
        </w:r>
        <w:r w:rsidR="002A4AE2">
          <w:rPr>
            <w:noProof/>
            <w:webHidden/>
          </w:rPr>
        </w:r>
        <w:r w:rsidR="002A4AE2">
          <w:rPr>
            <w:noProof/>
            <w:webHidden/>
          </w:rPr>
          <w:fldChar w:fldCharType="separate"/>
        </w:r>
        <w:r w:rsidR="002A4AE2">
          <w:rPr>
            <w:noProof/>
            <w:webHidden/>
          </w:rPr>
          <w:t>5</w:t>
        </w:r>
        <w:r w:rsidR="002A4AE2">
          <w:rPr>
            <w:noProof/>
            <w:webHidden/>
          </w:rPr>
          <w:fldChar w:fldCharType="end"/>
        </w:r>
      </w:hyperlink>
    </w:p>
    <w:p w:rsidR="002A4AE2" w:rsidRDefault="009362C7">
      <w:pPr>
        <w:pStyle w:val="TOC2"/>
        <w:tabs>
          <w:tab w:val="right" w:leader="dot" w:pos="10456"/>
        </w:tabs>
        <w:rPr>
          <w:rFonts w:asciiTheme="minorHAnsi" w:hAnsiTheme="minorHAnsi"/>
          <w:noProof/>
          <w:lang w:eastAsia="en-US"/>
        </w:rPr>
      </w:pPr>
      <w:hyperlink w:anchor="_Toc463891929" w:history="1">
        <w:r w:rsidR="002A4AE2" w:rsidRPr="006E0247">
          <w:rPr>
            <w:rStyle w:val="Hyperlink"/>
            <w:noProof/>
          </w:rPr>
          <w:t>Water Production</w:t>
        </w:r>
        <w:r w:rsidR="002A4AE2">
          <w:rPr>
            <w:noProof/>
            <w:webHidden/>
          </w:rPr>
          <w:tab/>
        </w:r>
        <w:r w:rsidR="002A4AE2">
          <w:rPr>
            <w:noProof/>
            <w:webHidden/>
          </w:rPr>
          <w:fldChar w:fldCharType="begin"/>
        </w:r>
        <w:r w:rsidR="002A4AE2">
          <w:rPr>
            <w:noProof/>
            <w:webHidden/>
          </w:rPr>
          <w:instrText xml:space="preserve"> PAGEREF _Toc463891929 \h </w:instrText>
        </w:r>
        <w:r w:rsidR="002A4AE2">
          <w:rPr>
            <w:noProof/>
            <w:webHidden/>
          </w:rPr>
        </w:r>
        <w:r w:rsidR="002A4AE2">
          <w:rPr>
            <w:noProof/>
            <w:webHidden/>
          </w:rPr>
          <w:fldChar w:fldCharType="separate"/>
        </w:r>
        <w:r w:rsidR="002A4AE2">
          <w:rPr>
            <w:noProof/>
            <w:webHidden/>
          </w:rPr>
          <w:t>6</w:t>
        </w:r>
        <w:r w:rsidR="002A4AE2">
          <w:rPr>
            <w:noProof/>
            <w:webHidden/>
          </w:rPr>
          <w:fldChar w:fldCharType="end"/>
        </w:r>
      </w:hyperlink>
    </w:p>
    <w:p w:rsidR="002A4AE2" w:rsidRDefault="009362C7">
      <w:pPr>
        <w:pStyle w:val="TOC2"/>
        <w:tabs>
          <w:tab w:val="right" w:leader="dot" w:pos="10456"/>
        </w:tabs>
        <w:rPr>
          <w:rFonts w:asciiTheme="minorHAnsi" w:hAnsiTheme="minorHAnsi"/>
          <w:noProof/>
          <w:lang w:eastAsia="en-US"/>
        </w:rPr>
      </w:pPr>
      <w:hyperlink w:anchor="_Toc463891930" w:history="1">
        <w:r w:rsidR="002A4AE2" w:rsidRPr="006E0247">
          <w:rPr>
            <w:rStyle w:val="Hyperlink"/>
            <w:noProof/>
          </w:rPr>
          <w:t>Water Consumption</w:t>
        </w:r>
        <w:r w:rsidR="002A4AE2">
          <w:rPr>
            <w:noProof/>
            <w:webHidden/>
          </w:rPr>
          <w:tab/>
        </w:r>
        <w:r w:rsidR="002A4AE2">
          <w:rPr>
            <w:noProof/>
            <w:webHidden/>
          </w:rPr>
          <w:fldChar w:fldCharType="begin"/>
        </w:r>
        <w:r w:rsidR="002A4AE2">
          <w:rPr>
            <w:noProof/>
            <w:webHidden/>
          </w:rPr>
          <w:instrText xml:space="preserve"> PAGEREF _Toc463891930 \h </w:instrText>
        </w:r>
        <w:r w:rsidR="002A4AE2">
          <w:rPr>
            <w:noProof/>
            <w:webHidden/>
          </w:rPr>
        </w:r>
        <w:r w:rsidR="002A4AE2">
          <w:rPr>
            <w:noProof/>
            <w:webHidden/>
          </w:rPr>
          <w:fldChar w:fldCharType="separate"/>
        </w:r>
        <w:r w:rsidR="002A4AE2">
          <w:rPr>
            <w:noProof/>
            <w:webHidden/>
          </w:rPr>
          <w:t>6</w:t>
        </w:r>
        <w:r w:rsidR="002A4AE2">
          <w:rPr>
            <w:noProof/>
            <w:webHidden/>
          </w:rPr>
          <w:fldChar w:fldCharType="end"/>
        </w:r>
      </w:hyperlink>
    </w:p>
    <w:p w:rsidR="002A4AE2" w:rsidRDefault="009362C7">
      <w:pPr>
        <w:pStyle w:val="TOC2"/>
        <w:tabs>
          <w:tab w:val="right" w:leader="dot" w:pos="10456"/>
        </w:tabs>
        <w:rPr>
          <w:rFonts w:asciiTheme="minorHAnsi" w:hAnsiTheme="minorHAnsi"/>
          <w:noProof/>
          <w:lang w:eastAsia="en-US"/>
        </w:rPr>
      </w:pPr>
      <w:hyperlink w:anchor="_Toc463891931" w:history="1">
        <w:r w:rsidR="002A4AE2" w:rsidRPr="006E0247">
          <w:rPr>
            <w:rStyle w:val="Hyperlink"/>
            <w:noProof/>
          </w:rPr>
          <w:t>Frequency of Service</w:t>
        </w:r>
        <w:r w:rsidR="002A4AE2">
          <w:rPr>
            <w:noProof/>
            <w:webHidden/>
          </w:rPr>
          <w:tab/>
        </w:r>
        <w:r w:rsidR="002A4AE2">
          <w:rPr>
            <w:noProof/>
            <w:webHidden/>
          </w:rPr>
          <w:fldChar w:fldCharType="begin"/>
        </w:r>
        <w:r w:rsidR="002A4AE2">
          <w:rPr>
            <w:noProof/>
            <w:webHidden/>
          </w:rPr>
          <w:instrText xml:space="preserve"> PAGEREF _Toc463891931 \h </w:instrText>
        </w:r>
        <w:r w:rsidR="002A4AE2">
          <w:rPr>
            <w:noProof/>
            <w:webHidden/>
          </w:rPr>
        </w:r>
        <w:r w:rsidR="002A4AE2">
          <w:rPr>
            <w:noProof/>
            <w:webHidden/>
          </w:rPr>
          <w:fldChar w:fldCharType="separate"/>
        </w:r>
        <w:r w:rsidR="002A4AE2">
          <w:rPr>
            <w:noProof/>
            <w:webHidden/>
          </w:rPr>
          <w:t>6</w:t>
        </w:r>
        <w:r w:rsidR="002A4AE2">
          <w:rPr>
            <w:noProof/>
            <w:webHidden/>
          </w:rPr>
          <w:fldChar w:fldCharType="end"/>
        </w:r>
      </w:hyperlink>
    </w:p>
    <w:p w:rsidR="002A4AE2" w:rsidRDefault="009362C7">
      <w:pPr>
        <w:pStyle w:val="TOC2"/>
        <w:tabs>
          <w:tab w:val="right" w:leader="dot" w:pos="10456"/>
        </w:tabs>
        <w:rPr>
          <w:rFonts w:asciiTheme="minorHAnsi" w:hAnsiTheme="minorHAnsi"/>
          <w:noProof/>
          <w:lang w:eastAsia="en-US"/>
        </w:rPr>
      </w:pPr>
      <w:hyperlink w:anchor="_Toc463891932" w:history="1">
        <w:r w:rsidR="002A4AE2" w:rsidRPr="006E0247">
          <w:rPr>
            <w:rStyle w:val="Hyperlink"/>
            <w:noProof/>
          </w:rPr>
          <w:t>Domestic Water Storage</w:t>
        </w:r>
        <w:r w:rsidR="002A4AE2">
          <w:rPr>
            <w:noProof/>
            <w:webHidden/>
          </w:rPr>
          <w:tab/>
        </w:r>
        <w:r w:rsidR="002A4AE2">
          <w:rPr>
            <w:noProof/>
            <w:webHidden/>
          </w:rPr>
          <w:fldChar w:fldCharType="begin"/>
        </w:r>
        <w:r w:rsidR="002A4AE2">
          <w:rPr>
            <w:noProof/>
            <w:webHidden/>
          </w:rPr>
          <w:instrText xml:space="preserve"> PAGEREF _Toc463891932 \h </w:instrText>
        </w:r>
        <w:r w:rsidR="002A4AE2">
          <w:rPr>
            <w:noProof/>
            <w:webHidden/>
          </w:rPr>
        </w:r>
        <w:r w:rsidR="002A4AE2">
          <w:rPr>
            <w:noProof/>
            <w:webHidden/>
          </w:rPr>
          <w:fldChar w:fldCharType="separate"/>
        </w:r>
        <w:r w:rsidR="002A4AE2">
          <w:rPr>
            <w:noProof/>
            <w:webHidden/>
          </w:rPr>
          <w:t>7</w:t>
        </w:r>
        <w:r w:rsidR="002A4AE2">
          <w:rPr>
            <w:noProof/>
            <w:webHidden/>
          </w:rPr>
          <w:fldChar w:fldCharType="end"/>
        </w:r>
      </w:hyperlink>
    </w:p>
    <w:p w:rsidR="002A4AE2" w:rsidRDefault="009362C7">
      <w:pPr>
        <w:pStyle w:val="TOC2"/>
        <w:tabs>
          <w:tab w:val="right" w:leader="dot" w:pos="10456"/>
        </w:tabs>
        <w:rPr>
          <w:rFonts w:asciiTheme="minorHAnsi" w:hAnsiTheme="minorHAnsi"/>
          <w:noProof/>
          <w:lang w:eastAsia="en-US"/>
        </w:rPr>
      </w:pPr>
      <w:hyperlink w:anchor="_Toc463891933" w:history="1">
        <w:r w:rsidR="002A4AE2" w:rsidRPr="006E0247">
          <w:rPr>
            <w:rStyle w:val="Hyperlink"/>
            <w:noProof/>
          </w:rPr>
          <w:t>Coping Strategies</w:t>
        </w:r>
        <w:r w:rsidR="002A4AE2">
          <w:rPr>
            <w:noProof/>
            <w:webHidden/>
          </w:rPr>
          <w:tab/>
        </w:r>
        <w:r w:rsidR="002A4AE2">
          <w:rPr>
            <w:noProof/>
            <w:webHidden/>
          </w:rPr>
          <w:fldChar w:fldCharType="begin"/>
        </w:r>
        <w:r w:rsidR="002A4AE2">
          <w:rPr>
            <w:noProof/>
            <w:webHidden/>
          </w:rPr>
          <w:instrText xml:space="preserve"> PAGEREF _Toc463891933 \h </w:instrText>
        </w:r>
        <w:r w:rsidR="002A4AE2">
          <w:rPr>
            <w:noProof/>
            <w:webHidden/>
          </w:rPr>
        </w:r>
        <w:r w:rsidR="002A4AE2">
          <w:rPr>
            <w:noProof/>
            <w:webHidden/>
          </w:rPr>
          <w:fldChar w:fldCharType="separate"/>
        </w:r>
        <w:r w:rsidR="002A4AE2">
          <w:rPr>
            <w:noProof/>
            <w:webHidden/>
          </w:rPr>
          <w:t>8</w:t>
        </w:r>
        <w:r w:rsidR="002A4AE2">
          <w:rPr>
            <w:noProof/>
            <w:webHidden/>
          </w:rPr>
          <w:fldChar w:fldCharType="end"/>
        </w:r>
      </w:hyperlink>
    </w:p>
    <w:p w:rsidR="002A4AE2" w:rsidRDefault="009362C7">
      <w:pPr>
        <w:pStyle w:val="TOC2"/>
        <w:tabs>
          <w:tab w:val="right" w:leader="dot" w:pos="10456"/>
        </w:tabs>
        <w:rPr>
          <w:rFonts w:asciiTheme="minorHAnsi" w:hAnsiTheme="minorHAnsi"/>
          <w:noProof/>
          <w:lang w:eastAsia="en-US"/>
        </w:rPr>
      </w:pPr>
      <w:hyperlink w:anchor="_Toc463891934" w:history="1">
        <w:r w:rsidR="002A4AE2" w:rsidRPr="006E0247">
          <w:rPr>
            <w:rStyle w:val="Hyperlink"/>
            <w:noProof/>
          </w:rPr>
          <w:t>Drinking Water Source</w:t>
        </w:r>
        <w:r w:rsidR="002A4AE2">
          <w:rPr>
            <w:noProof/>
            <w:webHidden/>
          </w:rPr>
          <w:tab/>
        </w:r>
        <w:r w:rsidR="002A4AE2">
          <w:rPr>
            <w:noProof/>
            <w:webHidden/>
          </w:rPr>
          <w:fldChar w:fldCharType="begin"/>
        </w:r>
        <w:r w:rsidR="002A4AE2">
          <w:rPr>
            <w:noProof/>
            <w:webHidden/>
          </w:rPr>
          <w:instrText xml:space="preserve"> PAGEREF _Toc463891934 \h </w:instrText>
        </w:r>
        <w:r w:rsidR="002A4AE2">
          <w:rPr>
            <w:noProof/>
            <w:webHidden/>
          </w:rPr>
        </w:r>
        <w:r w:rsidR="002A4AE2">
          <w:rPr>
            <w:noProof/>
            <w:webHidden/>
          </w:rPr>
          <w:fldChar w:fldCharType="separate"/>
        </w:r>
        <w:r w:rsidR="002A4AE2">
          <w:rPr>
            <w:noProof/>
            <w:webHidden/>
          </w:rPr>
          <w:t>9</w:t>
        </w:r>
        <w:r w:rsidR="002A4AE2">
          <w:rPr>
            <w:noProof/>
            <w:webHidden/>
          </w:rPr>
          <w:fldChar w:fldCharType="end"/>
        </w:r>
      </w:hyperlink>
    </w:p>
    <w:p w:rsidR="002A4AE2" w:rsidRDefault="009362C7">
      <w:pPr>
        <w:pStyle w:val="TOC2"/>
        <w:tabs>
          <w:tab w:val="right" w:leader="dot" w:pos="10456"/>
        </w:tabs>
        <w:rPr>
          <w:rFonts w:asciiTheme="minorHAnsi" w:hAnsiTheme="minorHAnsi"/>
          <w:noProof/>
          <w:lang w:eastAsia="en-US"/>
        </w:rPr>
      </w:pPr>
      <w:hyperlink w:anchor="_Toc463891935" w:history="1">
        <w:r w:rsidR="002A4AE2" w:rsidRPr="006E0247">
          <w:rPr>
            <w:rStyle w:val="Hyperlink"/>
            <w:noProof/>
          </w:rPr>
          <w:t>Private producer quality</w:t>
        </w:r>
        <w:r w:rsidR="002A4AE2">
          <w:rPr>
            <w:noProof/>
            <w:webHidden/>
          </w:rPr>
          <w:tab/>
        </w:r>
        <w:r w:rsidR="002A4AE2">
          <w:rPr>
            <w:noProof/>
            <w:webHidden/>
          </w:rPr>
          <w:fldChar w:fldCharType="begin"/>
        </w:r>
        <w:r w:rsidR="002A4AE2">
          <w:rPr>
            <w:noProof/>
            <w:webHidden/>
          </w:rPr>
          <w:instrText xml:space="preserve"> PAGEREF _Toc463891935 \h </w:instrText>
        </w:r>
        <w:r w:rsidR="002A4AE2">
          <w:rPr>
            <w:noProof/>
            <w:webHidden/>
          </w:rPr>
        </w:r>
        <w:r w:rsidR="002A4AE2">
          <w:rPr>
            <w:noProof/>
            <w:webHidden/>
          </w:rPr>
          <w:fldChar w:fldCharType="separate"/>
        </w:r>
        <w:r w:rsidR="002A4AE2">
          <w:rPr>
            <w:noProof/>
            <w:webHidden/>
          </w:rPr>
          <w:t>10</w:t>
        </w:r>
        <w:r w:rsidR="002A4AE2">
          <w:rPr>
            <w:noProof/>
            <w:webHidden/>
          </w:rPr>
          <w:fldChar w:fldCharType="end"/>
        </w:r>
      </w:hyperlink>
    </w:p>
    <w:p w:rsidR="002A4AE2" w:rsidRDefault="009362C7">
      <w:pPr>
        <w:pStyle w:val="TOC2"/>
        <w:tabs>
          <w:tab w:val="right" w:leader="dot" w:pos="10456"/>
        </w:tabs>
        <w:rPr>
          <w:rFonts w:asciiTheme="minorHAnsi" w:hAnsiTheme="minorHAnsi"/>
          <w:noProof/>
          <w:lang w:eastAsia="en-US"/>
        </w:rPr>
      </w:pPr>
      <w:hyperlink w:anchor="_Toc463891936" w:history="1">
        <w:r w:rsidR="002A4AE2" w:rsidRPr="006E0247">
          <w:rPr>
            <w:rStyle w:val="Hyperlink"/>
            <w:noProof/>
          </w:rPr>
          <w:t>Drinking water storage and cleanliness</w:t>
        </w:r>
        <w:r w:rsidR="002A4AE2">
          <w:rPr>
            <w:noProof/>
            <w:webHidden/>
          </w:rPr>
          <w:tab/>
        </w:r>
        <w:r w:rsidR="002A4AE2">
          <w:rPr>
            <w:noProof/>
            <w:webHidden/>
          </w:rPr>
          <w:fldChar w:fldCharType="begin"/>
        </w:r>
        <w:r w:rsidR="002A4AE2">
          <w:rPr>
            <w:noProof/>
            <w:webHidden/>
          </w:rPr>
          <w:instrText xml:space="preserve"> PAGEREF _Toc463891936 \h </w:instrText>
        </w:r>
        <w:r w:rsidR="002A4AE2">
          <w:rPr>
            <w:noProof/>
            <w:webHidden/>
          </w:rPr>
        </w:r>
        <w:r w:rsidR="002A4AE2">
          <w:rPr>
            <w:noProof/>
            <w:webHidden/>
          </w:rPr>
          <w:fldChar w:fldCharType="separate"/>
        </w:r>
        <w:r w:rsidR="002A4AE2">
          <w:rPr>
            <w:noProof/>
            <w:webHidden/>
          </w:rPr>
          <w:t>10</w:t>
        </w:r>
        <w:r w:rsidR="002A4AE2">
          <w:rPr>
            <w:noProof/>
            <w:webHidden/>
          </w:rPr>
          <w:fldChar w:fldCharType="end"/>
        </w:r>
      </w:hyperlink>
    </w:p>
    <w:p w:rsidR="002A4AE2" w:rsidRDefault="009362C7">
      <w:pPr>
        <w:pStyle w:val="TOC1"/>
        <w:rPr>
          <w:rFonts w:asciiTheme="minorHAnsi" w:hAnsiTheme="minorHAnsi"/>
          <w:noProof/>
          <w:lang w:eastAsia="en-US"/>
        </w:rPr>
      </w:pPr>
      <w:hyperlink w:anchor="_Toc463891937" w:history="1">
        <w:r w:rsidR="002A4AE2" w:rsidRPr="006E0247">
          <w:rPr>
            <w:rStyle w:val="Hyperlink"/>
            <w:noProof/>
          </w:rPr>
          <w:t>SANITATION &amp; DRAINAGE</w:t>
        </w:r>
        <w:r w:rsidR="002A4AE2">
          <w:rPr>
            <w:noProof/>
            <w:webHidden/>
          </w:rPr>
          <w:tab/>
        </w:r>
        <w:r w:rsidR="002A4AE2">
          <w:rPr>
            <w:noProof/>
            <w:webHidden/>
          </w:rPr>
          <w:fldChar w:fldCharType="begin"/>
        </w:r>
        <w:r w:rsidR="002A4AE2">
          <w:rPr>
            <w:noProof/>
            <w:webHidden/>
          </w:rPr>
          <w:instrText xml:space="preserve"> PAGEREF _Toc463891937 \h </w:instrText>
        </w:r>
        <w:r w:rsidR="002A4AE2">
          <w:rPr>
            <w:noProof/>
            <w:webHidden/>
          </w:rPr>
        </w:r>
        <w:r w:rsidR="002A4AE2">
          <w:rPr>
            <w:noProof/>
            <w:webHidden/>
          </w:rPr>
          <w:fldChar w:fldCharType="separate"/>
        </w:r>
        <w:r w:rsidR="002A4AE2">
          <w:rPr>
            <w:noProof/>
            <w:webHidden/>
          </w:rPr>
          <w:t>12</w:t>
        </w:r>
        <w:r w:rsidR="002A4AE2">
          <w:rPr>
            <w:noProof/>
            <w:webHidden/>
          </w:rPr>
          <w:fldChar w:fldCharType="end"/>
        </w:r>
      </w:hyperlink>
    </w:p>
    <w:p w:rsidR="002A4AE2" w:rsidRDefault="009362C7">
      <w:pPr>
        <w:pStyle w:val="TOC2"/>
        <w:tabs>
          <w:tab w:val="right" w:leader="dot" w:pos="10456"/>
        </w:tabs>
        <w:rPr>
          <w:rFonts w:asciiTheme="minorHAnsi" w:hAnsiTheme="minorHAnsi"/>
          <w:noProof/>
          <w:lang w:eastAsia="en-US"/>
        </w:rPr>
      </w:pPr>
      <w:hyperlink w:anchor="_Toc463891938" w:history="1">
        <w:r w:rsidR="002A4AE2" w:rsidRPr="006E0247">
          <w:rPr>
            <w:rStyle w:val="Hyperlink"/>
            <w:noProof/>
          </w:rPr>
          <w:t>Sewerage &amp; Wastewater</w:t>
        </w:r>
        <w:r w:rsidR="002A4AE2">
          <w:rPr>
            <w:noProof/>
            <w:webHidden/>
          </w:rPr>
          <w:tab/>
        </w:r>
        <w:r w:rsidR="002A4AE2">
          <w:rPr>
            <w:noProof/>
            <w:webHidden/>
          </w:rPr>
          <w:fldChar w:fldCharType="begin"/>
        </w:r>
        <w:r w:rsidR="002A4AE2">
          <w:rPr>
            <w:noProof/>
            <w:webHidden/>
          </w:rPr>
          <w:instrText xml:space="preserve"> PAGEREF _Toc463891938 \h </w:instrText>
        </w:r>
        <w:r w:rsidR="002A4AE2">
          <w:rPr>
            <w:noProof/>
            <w:webHidden/>
          </w:rPr>
        </w:r>
        <w:r w:rsidR="002A4AE2">
          <w:rPr>
            <w:noProof/>
            <w:webHidden/>
          </w:rPr>
          <w:fldChar w:fldCharType="separate"/>
        </w:r>
        <w:r w:rsidR="002A4AE2">
          <w:rPr>
            <w:noProof/>
            <w:webHidden/>
          </w:rPr>
          <w:t>12</w:t>
        </w:r>
        <w:r w:rsidR="002A4AE2">
          <w:rPr>
            <w:noProof/>
            <w:webHidden/>
          </w:rPr>
          <w:fldChar w:fldCharType="end"/>
        </w:r>
      </w:hyperlink>
    </w:p>
    <w:p w:rsidR="002A4AE2" w:rsidRDefault="009362C7">
      <w:pPr>
        <w:pStyle w:val="TOC2"/>
        <w:tabs>
          <w:tab w:val="right" w:leader="dot" w:pos="10456"/>
        </w:tabs>
        <w:rPr>
          <w:rFonts w:asciiTheme="minorHAnsi" w:hAnsiTheme="minorHAnsi"/>
          <w:noProof/>
          <w:lang w:eastAsia="en-US"/>
        </w:rPr>
      </w:pPr>
      <w:hyperlink w:anchor="_Toc463891939" w:history="1">
        <w:r w:rsidR="002A4AE2" w:rsidRPr="006E0247">
          <w:rPr>
            <w:rStyle w:val="Hyperlink"/>
            <w:noProof/>
          </w:rPr>
          <w:t>Flood risk areas</w:t>
        </w:r>
        <w:r w:rsidR="002A4AE2">
          <w:rPr>
            <w:noProof/>
            <w:webHidden/>
          </w:rPr>
          <w:tab/>
        </w:r>
        <w:r w:rsidR="002A4AE2">
          <w:rPr>
            <w:noProof/>
            <w:webHidden/>
          </w:rPr>
          <w:fldChar w:fldCharType="begin"/>
        </w:r>
        <w:r w:rsidR="002A4AE2">
          <w:rPr>
            <w:noProof/>
            <w:webHidden/>
          </w:rPr>
          <w:instrText xml:space="preserve"> PAGEREF _Toc463891939 \h </w:instrText>
        </w:r>
        <w:r w:rsidR="002A4AE2">
          <w:rPr>
            <w:noProof/>
            <w:webHidden/>
          </w:rPr>
        </w:r>
        <w:r w:rsidR="002A4AE2">
          <w:rPr>
            <w:noProof/>
            <w:webHidden/>
          </w:rPr>
          <w:fldChar w:fldCharType="separate"/>
        </w:r>
        <w:r w:rsidR="002A4AE2">
          <w:rPr>
            <w:noProof/>
            <w:webHidden/>
          </w:rPr>
          <w:t>13</w:t>
        </w:r>
        <w:r w:rsidR="002A4AE2">
          <w:rPr>
            <w:noProof/>
            <w:webHidden/>
          </w:rPr>
          <w:fldChar w:fldCharType="end"/>
        </w:r>
      </w:hyperlink>
    </w:p>
    <w:p w:rsidR="002A4AE2" w:rsidRDefault="009362C7">
      <w:pPr>
        <w:pStyle w:val="TOC1"/>
        <w:rPr>
          <w:rFonts w:asciiTheme="minorHAnsi" w:hAnsiTheme="minorHAnsi"/>
          <w:noProof/>
          <w:lang w:eastAsia="en-US"/>
        </w:rPr>
      </w:pPr>
      <w:hyperlink w:anchor="_Toc463891940" w:history="1">
        <w:r w:rsidR="002A4AE2" w:rsidRPr="006E0247">
          <w:rPr>
            <w:rStyle w:val="Hyperlink"/>
            <w:noProof/>
          </w:rPr>
          <w:t>SOLID WASTE</w:t>
        </w:r>
        <w:r w:rsidR="002A4AE2">
          <w:rPr>
            <w:noProof/>
            <w:webHidden/>
          </w:rPr>
          <w:tab/>
        </w:r>
        <w:r w:rsidR="002A4AE2">
          <w:rPr>
            <w:noProof/>
            <w:webHidden/>
          </w:rPr>
          <w:fldChar w:fldCharType="begin"/>
        </w:r>
        <w:r w:rsidR="002A4AE2">
          <w:rPr>
            <w:noProof/>
            <w:webHidden/>
          </w:rPr>
          <w:instrText xml:space="preserve"> PAGEREF _Toc463891940 \h </w:instrText>
        </w:r>
        <w:r w:rsidR="002A4AE2">
          <w:rPr>
            <w:noProof/>
            <w:webHidden/>
          </w:rPr>
        </w:r>
        <w:r w:rsidR="002A4AE2">
          <w:rPr>
            <w:noProof/>
            <w:webHidden/>
          </w:rPr>
          <w:fldChar w:fldCharType="separate"/>
        </w:r>
        <w:r w:rsidR="002A4AE2">
          <w:rPr>
            <w:noProof/>
            <w:webHidden/>
          </w:rPr>
          <w:t>14</w:t>
        </w:r>
        <w:r w:rsidR="002A4AE2">
          <w:rPr>
            <w:noProof/>
            <w:webHidden/>
          </w:rPr>
          <w:fldChar w:fldCharType="end"/>
        </w:r>
      </w:hyperlink>
    </w:p>
    <w:p w:rsidR="002A4AE2" w:rsidRDefault="009362C7">
      <w:pPr>
        <w:pStyle w:val="TOC1"/>
        <w:rPr>
          <w:rFonts w:asciiTheme="minorHAnsi" w:hAnsiTheme="minorHAnsi"/>
          <w:noProof/>
          <w:lang w:eastAsia="en-US"/>
        </w:rPr>
      </w:pPr>
      <w:hyperlink w:anchor="_Toc463891941" w:history="1">
        <w:r w:rsidR="002A4AE2" w:rsidRPr="006E0247">
          <w:rPr>
            <w:rStyle w:val="Hyperlink"/>
            <w:noProof/>
          </w:rPr>
          <w:t>HYGIENE &amp; MHM</w:t>
        </w:r>
        <w:r w:rsidR="002A4AE2">
          <w:rPr>
            <w:noProof/>
            <w:webHidden/>
          </w:rPr>
          <w:tab/>
        </w:r>
        <w:r w:rsidR="002A4AE2">
          <w:rPr>
            <w:noProof/>
            <w:webHidden/>
          </w:rPr>
          <w:fldChar w:fldCharType="begin"/>
        </w:r>
        <w:r w:rsidR="002A4AE2">
          <w:rPr>
            <w:noProof/>
            <w:webHidden/>
          </w:rPr>
          <w:instrText xml:space="preserve"> PAGEREF _Toc463891941 \h </w:instrText>
        </w:r>
        <w:r w:rsidR="002A4AE2">
          <w:rPr>
            <w:noProof/>
            <w:webHidden/>
          </w:rPr>
        </w:r>
        <w:r w:rsidR="002A4AE2">
          <w:rPr>
            <w:noProof/>
            <w:webHidden/>
          </w:rPr>
          <w:fldChar w:fldCharType="separate"/>
        </w:r>
        <w:r w:rsidR="002A4AE2">
          <w:rPr>
            <w:noProof/>
            <w:webHidden/>
          </w:rPr>
          <w:t>16</w:t>
        </w:r>
        <w:r w:rsidR="002A4AE2">
          <w:rPr>
            <w:noProof/>
            <w:webHidden/>
          </w:rPr>
          <w:fldChar w:fldCharType="end"/>
        </w:r>
      </w:hyperlink>
    </w:p>
    <w:p w:rsidR="002A4AE2" w:rsidRDefault="009362C7">
      <w:pPr>
        <w:pStyle w:val="TOC2"/>
        <w:tabs>
          <w:tab w:val="right" w:leader="dot" w:pos="10456"/>
        </w:tabs>
        <w:rPr>
          <w:rFonts w:asciiTheme="minorHAnsi" w:hAnsiTheme="minorHAnsi"/>
          <w:noProof/>
          <w:lang w:eastAsia="en-US"/>
        </w:rPr>
      </w:pPr>
      <w:hyperlink w:anchor="_Toc463891942" w:history="1">
        <w:r w:rsidR="002A4AE2" w:rsidRPr="006E0247">
          <w:rPr>
            <w:rStyle w:val="Hyperlink"/>
            <w:noProof/>
          </w:rPr>
          <w:t>Bathing practices</w:t>
        </w:r>
        <w:r w:rsidR="002A4AE2">
          <w:rPr>
            <w:noProof/>
            <w:webHidden/>
          </w:rPr>
          <w:tab/>
        </w:r>
        <w:r w:rsidR="002A4AE2">
          <w:rPr>
            <w:noProof/>
            <w:webHidden/>
          </w:rPr>
          <w:fldChar w:fldCharType="begin"/>
        </w:r>
        <w:r w:rsidR="002A4AE2">
          <w:rPr>
            <w:noProof/>
            <w:webHidden/>
          </w:rPr>
          <w:instrText xml:space="preserve"> PAGEREF _Toc463891942 \h </w:instrText>
        </w:r>
        <w:r w:rsidR="002A4AE2">
          <w:rPr>
            <w:noProof/>
            <w:webHidden/>
          </w:rPr>
        </w:r>
        <w:r w:rsidR="002A4AE2">
          <w:rPr>
            <w:noProof/>
            <w:webHidden/>
          </w:rPr>
          <w:fldChar w:fldCharType="separate"/>
        </w:r>
        <w:r w:rsidR="002A4AE2">
          <w:rPr>
            <w:noProof/>
            <w:webHidden/>
          </w:rPr>
          <w:t>16</w:t>
        </w:r>
        <w:r w:rsidR="002A4AE2">
          <w:rPr>
            <w:noProof/>
            <w:webHidden/>
          </w:rPr>
          <w:fldChar w:fldCharType="end"/>
        </w:r>
      </w:hyperlink>
    </w:p>
    <w:p w:rsidR="002A4AE2" w:rsidRDefault="009362C7">
      <w:pPr>
        <w:pStyle w:val="TOC2"/>
        <w:tabs>
          <w:tab w:val="right" w:leader="dot" w:pos="10456"/>
        </w:tabs>
        <w:rPr>
          <w:rFonts w:asciiTheme="minorHAnsi" w:hAnsiTheme="minorHAnsi"/>
          <w:noProof/>
          <w:lang w:eastAsia="en-US"/>
        </w:rPr>
      </w:pPr>
      <w:hyperlink w:anchor="_Toc463891943" w:history="1">
        <w:r w:rsidR="002A4AE2" w:rsidRPr="006E0247">
          <w:rPr>
            <w:rStyle w:val="Hyperlink"/>
            <w:noProof/>
          </w:rPr>
          <w:t>Handwashing Practices</w:t>
        </w:r>
        <w:r w:rsidR="002A4AE2">
          <w:rPr>
            <w:noProof/>
            <w:webHidden/>
          </w:rPr>
          <w:tab/>
        </w:r>
        <w:r w:rsidR="002A4AE2">
          <w:rPr>
            <w:noProof/>
            <w:webHidden/>
          </w:rPr>
          <w:fldChar w:fldCharType="begin"/>
        </w:r>
        <w:r w:rsidR="002A4AE2">
          <w:rPr>
            <w:noProof/>
            <w:webHidden/>
          </w:rPr>
          <w:instrText xml:space="preserve"> PAGEREF _Toc463891943 \h </w:instrText>
        </w:r>
        <w:r w:rsidR="002A4AE2">
          <w:rPr>
            <w:noProof/>
            <w:webHidden/>
          </w:rPr>
        </w:r>
        <w:r w:rsidR="002A4AE2">
          <w:rPr>
            <w:noProof/>
            <w:webHidden/>
          </w:rPr>
          <w:fldChar w:fldCharType="separate"/>
        </w:r>
        <w:r w:rsidR="002A4AE2">
          <w:rPr>
            <w:noProof/>
            <w:webHidden/>
          </w:rPr>
          <w:t>16</w:t>
        </w:r>
        <w:r w:rsidR="002A4AE2">
          <w:rPr>
            <w:noProof/>
            <w:webHidden/>
          </w:rPr>
          <w:fldChar w:fldCharType="end"/>
        </w:r>
      </w:hyperlink>
    </w:p>
    <w:p w:rsidR="002A4AE2" w:rsidRDefault="009362C7">
      <w:pPr>
        <w:pStyle w:val="TOC2"/>
        <w:tabs>
          <w:tab w:val="right" w:leader="dot" w:pos="10456"/>
        </w:tabs>
        <w:rPr>
          <w:rFonts w:asciiTheme="minorHAnsi" w:hAnsiTheme="minorHAnsi"/>
          <w:noProof/>
          <w:lang w:eastAsia="en-US"/>
        </w:rPr>
      </w:pPr>
      <w:hyperlink w:anchor="_Toc463891944" w:history="1">
        <w:r w:rsidR="002A4AE2" w:rsidRPr="006E0247">
          <w:rPr>
            <w:rStyle w:val="Hyperlink"/>
            <w:noProof/>
          </w:rPr>
          <w:t>Cleaning and Hygiene Materials</w:t>
        </w:r>
        <w:r w:rsidR="002A4AE2">
          <w:rPr>
            <w:noProof/>
            <w:webHidden/>
          </w:rPr>
          <w:tab/>
        </w:r>
        <w:r w:rsidR="002A4AE2">
          <w:rPr>
            <w:noProof/>
            <w:webHidden/>
          </w:rPr>
          <w:fldChar w:fldCharType="begin"/>
        </w:r>
        <w:r w:rsidR="002A4AE2">
          <w:rPr>
            <w:noProof/>
            <w:webHidden/>
          </w:rPr>
          <w:instrText xml:space="preserve"> PAGEREF _Toc463891944 \h </w:instrText>
        </w:r>
        <w:r w:rsidR="002A4AE2">
          <w:rPr>
            <w:noProof/>
            <w:webHidden/>
          </w:rPr>
        </w:r>
        <w:r w:rsidR="002A4AE2">
          <w:rPr>
            <w:noProof/>
            <w:webHidden/>
          </w:rPr>
          <w:fldChar w:fldCharType="separate"/>
        </w:r>
        <w:r w:rsidR="002A4AE2">
          <w:rPr>
            <w:noProof/>
            <w:webHidden/>
          </w:rPr>
          <w:t>17</w:t>
        </w:r>
        <w:r w:rsidR="002A4AE2">
          <w:rPr>
            <w:noProof/>
            <w:webHidden/>
          </w:rPr>
          <w:fldChar w:fldCharType="end"/>
        </w:r>
      </w:hyperlink>
    </w:p>
    <w:p w:rsidR="002A4AE2" w:rsidRDefault="009362C7">
      <w:pPr>
        <w:pStyle w:val="TOC2"/>
        <w:tabs>
          <w:tab w:val="right" w:leader="dot" w:pos="10456"/>
        </w:tabs>
        <w:rPr>
          <w:rFonts w:asciiTheme="minorHAnsi" w:hAnsiTheme="minorHAnsi"/>
          <w:noProof/>
          <w:lang w:eastAsia="en-US"/>
        </w:rPr>
      </w:pPr>
      <w:hyperlink w:anchor="_Toc463891945" w:history="1">
        <w:r w:rsidR="002A4AE2" w:rsidRPr="006E0247">
          <w:rPr>
            <w:rStyle w:val="Hyperlink"/>
            <w:noProof/>
          </w:rPr>
          <w:t>Menstrual Hygiene Materials</w:t>
        </w:r>
        <w:r w:rsidR="002A4AE2">
          <w:rPr>
            <w:noProof/>
            <w:webHidden/>
          </w:rPr>
          <w:tab/>
        </w:r>
        <w:r w:rsidR="002A4AE2">
          <w:rPr>
            <w:noProof/>
            <w:webHidden/>
          </w:rPr>
          <w:fldChar w:fldCharType="begin"/>
        </w:r>
        <w:r w:rsidR="002A4AE2">
          <w:rPr>
            <w:noProof/>
            <w:webHidden/>
          </w:rPr>
          <w:instrText xml:space="preserve"> PAGEREF _Toc463891945 \h </w:instrText>
        </w:r>
        <w:r w:rsidR="002A4AE2">
          <w:rPr>
            <w:noProof/>
            <w:webHidden/>
          </w:rPr>
        </w:r>
        <w:r w:rsidR="002A4AE2">
          <w:rPr>
            <w:noProof/>
            <w:webHidden/>
          </w:rPr>
          <w:fldChar w:fldCharType="separate"/>
        </w:r>
        <w:r w:rsidR="002A4AE2">
          <w:rPr>
            <w:noProof/>
            <w:webHidden/>
          </w:rPr>
          <w:t>17</w:t>
        </w:r>
        <w:r w:rsidR="002A4AE2">
          <w:rPr>
            <w:noProof/>
            <w:webHidden/>
          </w:rPr>
          <w:fldChar w:fldCharType="end"/>
        </w:r>
      </w:hyperlink>
    </w:p>
    <w:p w:rsidR="002A4AE2" w:rsidRDefault="009362C7">
      <w:pPr>
        <w:pStyle w:val="TOC1"/>
        <w:rPr>
          <w:rFonts w:asciiTheme="minorHAnsi" w:hAnsiTheme="minorHAnsi"/>
          <w:noProof/>
          <w:lang w:eastAsia="en-US"/>
        </w:rPr>
      </w:pPr>
      <w:hyperlink w:anchor="_Toc463891946" w:history="1">
        <w:r w:rsidR="002A4AE2" w:rsidRPr="006E0247">
          <w:rPr>
            <w:rStyle w:val="Hyperlink"/>
            <w:noProof/>
          </w:rPr>
          <w:t>WASH &amp; GENDER?</w:t>
        </w:r>
        <w:r w:rsidR="002A4AE2">
          <w:rPr>
            <w:noProof/>
            <w:webHidden/>
          </w:rPr>
          <w:tab/>
        </w:r>
        <w:r w:rsidR="002A4AE2">
          <w:rPr>
            <w:noProof/>
            <w:webHidden/>
          </w:rPr>
          <w:fldChar w:fldCharType="begin"/>
        </w:r>
        <w:r w:rsidR="002A4AE2">
          <w:rPr>
            <w:noProof/>
            <w:webHidden/>
          </w:rPr>
          <w:instrText xml:space="preserve"> PAGEREF _Toc463891946 \h </w:instrText>
        </w:r>
        <w:r w:rsidR="002A4AE2">
          <w:rPr>
            <w:noProof/>
            <w:webHidden/>
          </w:rPr>
        </w:r>
        <w:r w:rsidR="002A4AE2">
          <w:rPr>
            <w:noProof/>
            <w:webHidden/>
          </w:rPr>
          <w:fldChar w:fldCharType="separate"/>
        </w:r>
        <w:r w:rsidR="002A4AE2">
          <w:rPr>
            <w:noProof/>
            <w:webHidden/>
          </w:rPr>
          <w:t>18</w:t>
        </w:r>
        <w:r w:rsidR="002A4AE2">
          <w:rPr>
            <w:noProof/>
            <w:webHidden/>
          </w:rPr>
          <w:fldChar w:fldCharType="end"/>
        </w:r>
      </w:hyperlink>
    </w:p>
    <w:p w:rsidR="002A4AE2" w:rsidRDefault="009362C7">
      <w:pPr>
        <w:pStyle w:val="TOC1"/>
        <w:rPr>
          <w:rFonts w:asciiTheme="minorHAnsi" w:hAnsiTheme="minorHAnsi"/>
          <w:noProof/>
          <w:lang w:eastAsia="en-US"/>
        </w:rPr>
      </w:pPr>
      <w:hyperlink w:anchor="_Toc463891947" w:history="1">
        <w:r w:rsidR="002A4AE2" w:rsidRPr="006E0247">
          <w:rPr>
            <w:rStyle w:val="Hyperlink"/>
            <w:noProof/>
          </w:rPr>
          <w:t>WASH IN SHELTER</w:t>
        </w:r>
        <w:r w:rsidR="002A4AE2">
          <w:rPr>
            <w:noProof/>
            <w:webHidden/>
          </w:rPr>
          <w:tab/>
        </w:r>
        <w:r w:rsidR="002A4AE2">
          <w:rPr>
            <w:noProof/>
            <w:webHidden/>
          </w:rPr>
          <w:fldChar w:fldCharType="begin"/>
        </w:r>
        <w:r w:rsidR="002A4AE2">
          <w:rPr>
            <w:noProof/>
            <w:webHidden/>
          </w:rPr>
          <w:instrText xml:space="preserve"> PAGEREF _Toc463891947 \h </w:instrText>
        </w:r>
        <w:r w:rsidR="002A4AE2">
          <w:rPr>
            <w:noProof/>
            <w:webHidden/>
          </w:rPr>
        </w:r>
        <w:r w:rsidR="002A4AE2">
          <w:rPr>
            <w:noProof/>
            <w:webHidden/>
          </w:rPr>
          <w:fldChar w:fldCharType="separate"/>
        </w:r>
        <w:r w:rsidR="002A4AE2">
          <w:rPr>
            <w:noProof/>
            <w:webHidden/>
          </w:rPr>
          <w:t>19</w:t>
        </w:r>
        <w:r w:rsidR="002A4AE2">
          <w:rPr>
            <w:noProof/>
            <w:webHidden/>
          </w:rPr>
          <w:fldChar w:fldCharType="end"/>
        </w:r>
      </w:hyperlink>
    </w:p>
    <w:p w:rsidR="002A4AE2" w:rsidRDefault="009362C7">
      <w:pPr>
        <w:pStyle w:val="TOC1"/>
        <w:rPr>
          <w:rFonts w:asciiTheme="minorHAnsi" w:hAnsiTheme="minorHAnsi"/>
          <w:noProof/>
          <w:lang w:eastAsia="en-US"/>
        </w:rPr>
      </w:pPr>
      <w:hyperlink w:anchor="_Toc463891948" w:history="1">
        <w:r w:rsidR="002A4AE2" w:rsidRPr="006E0247">
          <w:rPr>
            <w:rStyle w:val="Hyperlink"/>
            <w:noProof/>
          </w:rPr>
          <w:t>WASH IN SCHOOLS</w:t>
        </w:r>
        <w:r w:rsidR="002A4AE2">
          <w:rPr>
            <w:noProof/>
            <w:webHidden/>
          </w:rPr>
          <w:tab/>
        </w:r>
        <w:r w:rsidR="002A4AE2">
          <w:rPr>
            <w:noProof/>
            <w:webHidden/>
          </w:rPr>
          <w:fldChar w:fldCharType="begin"/>
        </w:r>
        <w:r w:rsidR="002A4AE2">
          <w:rPr>
            <w:noProof/>
            <w:webHidden/>
          </w:rPr>
          <w:instrText xml:space="preserve"> PAGEREF _Toc463891948 \h </w:instrText>
        </w:r>
        <w:r w:rsidR="002A4AE2">
          <w:rPr>
            <w:noProof/>
            <w:webHidden/>
          </w:rPr>
        </w:r>
        <w:r w:rsidR="002A4AE2">
          <w:rPr>
            <w:noProof/>
            <w:webHidden/>
          </w:rPr>
          <w:fldChar w:fldCharType="separate"/>
        </w:r>
        <w:r w:rsidR="002A4AE2">
          <w:rPr>
            <w:noProof/>
            <w:webHidden/>
          </w:rPr>
          <w:t>20</w:t>
        </w:r>
        <w:r w:rsidR="002A4AE2">
          <w:rPr>
            <w:noProof/>
            <w:webHidden/>
          </w:rPr>
          <w:fldChar w:fldCharType="end"/>
        </w:r>
      </w:hyperlink>
    </w:p>
    <w:p w:rsidR="002A4AE2" w:rsidRDefault="009362C7">
      <w:pPr>
        <w:pStyle w:val="TOC1"/>
        <w:rPr>
          <w:rFonts w:asciiTheme="minorHAnsi" w:hAnsiTheme="minorHAnsi"/>
          <w:noProof/>
          <w:lang w:eastAsia="en-US"/>
        </w:rPr>
      </w:pPr>
      <w:hyperlink w:anchor="_Toc463891949" w:history="1">
        <w:r w:rsidR="002A4AE2" w:rsidRPr="006E0247">
          <w:rPr>
            <w:rStyle w:val="Hyperlink"/>
            <w:noProof/>
          </w:rPr>
          <w:t>WASH IN HEALTH CENTERS</w:t>
        </w:r>
        <w:r w:rsidR="002A4AE2">
          <w:rPr>
            <w:noProof/>
            <w:webHidden/>
          </w:rPr>
          <w:tab/>
        </w:r>
        <w:r w:rsidR="002A4AE2">
          <w:rPr>
            <w:noProof/>
            <w:webHidden/>
          </w:rPr>
          <w:fldChar w:fldCharType="begin"/>
        </w:r>
        <w:r w:rsidR="002A4AE2">
          <w:rPr>
            <w:noProof/>
            <w:webHidden/>
          </w:rPr>
          <w:instrText xml:space="preserve"> PAGEREF _Toc463891949 \h </w:instrText>
        </w:r>
        <w:r w:rsidR="002A4AE2">
          <w:rPr>
            <w:noProof/>
            <w:webHidden/>
          </w:rPr>
        </w:r>
        <w:r w:rsidR="002A4AE2">
          <w:rPr>
            <w:noProof/>
            <w:webHidden/>
          </w:rPr>
          <w:fldChar w:fldCharType="separate"/>
        </w:r>
        <w:r w:rsidR="002A4AE2">
          <w:rPr>
            <w:noProof/>
            <w:webHidden/>
          </w:rPr>
          <w:t>21</w:t>
        </w:r>
        <w:r w:rsidR="002A4AE2">
          <w:rPr>
            <w:noProof/>
            <w:webHidden/>
          </w:rPr>
          <w:fldChar w:fldCharType="end"/>
        </w:r>
      </w:hyperlink>
    </w:p>
    <w:p w:rsidR="002A4AE2" w:rsidRDefault="009362C7">
      <w:pPr>
        <w:pStyle w:val="TOC1"/>
        <w:rPr>
          <w:rFonts w:asciiTheme="minorHAnsi" w:hAnsiTheme="minorHAnsi"/>
          <w:noProof/>
          <w:lang w:eastAsia="en-US"/>
        </w:rPr>
      </w:pPr>
      <w:hyperlink w:anchor="_Toc463891950" w:history="1">
        <w:r w:rsidR="002A4AE2" w:rsidRPr="006E0247">
          <w:rPr>
            <w:rStyle w:val="Hyperlink"/>
            <w:noProof/>
          </w:rPr>
          <w:t>PUBLIC HEALTH</w:t>
        </w:r>
        <w:r w:rsidR="002A4AE2">
          <w:rPr>
            <w:noProof/>
            <w:webHidden/>
          </w:rPr>
          <w:tab/>
        </w:r>
        <w:r w:rsidR="002A4AE2">
          <w:rPr>
            <w:noProof/>
            <w:webHidden/>
          </w:rPr>
          <w:fldChar w:fldCharType="begin"/>
        </w:r>
        <w:r w:rsidR="002A4AE2">
          <w:rPr>
            <w:noProof/>
            <w:webHidden/>
          </w:rPr>
          <w:instrText xml:space="preserve"> PAGEREF _Toc463891950 \h </w:instrText>
        </w:r>
        <w:r w:rsidR="002A4AE2">
          <w:rPr>
            <w:noProof/>
            <w:webHidden/>
          </w:rPr>
        </w:r>
        <w:r w:rsidR="002A4AE2">
          <w:rPr>
            <w:noProof/>
            <w:webHidden/>
          </w:rPr>
          <w:fldChar w:fldCharType="separate"/>
        </w:r>
        <w:r w:rsidR="002A4AE2">
          <w:rPr>
            <w:noProof/>
            <w:webHidden/>
          </w:rPr>
          <w:t>22</w:t>
        </w:r>
        <w:r w:rsidR="002A4AE2">
          <w:rPr>
            <w:noProof/>
            <w:webHidden/>
          </w:rPr>
          <w:fldChar w:fldCharType="end"/>
        </w:r>
      </w:hyperlink>
    </w:p>
    <w:p w:rsidR="002A4AE2" w:rsidRDefault="009362C7">
      <w:pPr>
        <w:pStyle w:val="TOC2"/>
        <w:tabs>
          <w:tab w:val="right" w:leader="dot" w:pos="10456"/>
        </w:tabs>
        <w:rPr>
          <w:rFonts w:asciiTheme="minorHAnsi" w:hAnsiTheme="minorHAnsi"/>
          <w:noProof/>
          <w:lang w:eastAsia="en-US"/>
        </w:rPr>
      </w:pPr>
      <w:hyperlink w:anchor="_Toc463891951" w:history="1">
        <w:r w:rsidR="002A4AE2" w:rsidRPr="006E0247">
          <w:rPr>
            <w:rStyle w:val="Hyperlink"/>
            <w:noProof/>
          </w:rPr>
          <w:t>Diarrhoeal Incidence</w:t>
        </w:r>
        <w:r w:rsidR="002A4AE2">
          <w:rPr>
            <w:noProof/>
            <w:webHidden/>
          </w:rPr>
          <w:tab/>
        </w:r>
        <w:r w:rsidR="002A4AE2">
          <w:rPr>
            <w:noProof/>
            <w:webHidden/>
          </w:rPr>
          <w:fldChar w:fldCharType="begin"/>
        </w:r>
        <w:r w:rsidR="002A4AE2">
          <w:rPr>
            <w:noProof/>
            <w:webHidden/>
          </w:rPr>
          <w:instrText xml:space="preserve"> PAGEREF _Toc463891951 \h </w:instrText>
        </w:r>
        <w:r w:rsidR="002A4AE2">
          <w:rPr>
            <w:noProof/>
            <w:webHidden/>
          </w:rPr>
        </w:r>
        <w:r w:rsidR="002A4AE2">
          <w:rPr>
            <w:noProof/>
            <w:webHidden/>
          </w:rPr>
          <w:fldChar w:fldCharType="separate"/>
        </w:r>
        <w:r w:rsidR="002A4AE2">
          <w:rPr>
            <w:noProof/>
            <w:webHidden/>
          </w:rPr>
          <w:t>22</w:t>
        </w:r>
        <w:r w:rsidR="002A4AE2">
          <w:rPr>
            <w:noProof/>
            <w:webHidden/>
          </w:rPr>
          <w:fldChar w:fldCharType="end"/>
        </w:r>
      </w:hyperlink>
    </w:p>
    <w:p w:rsidR="002A4AE2" w:rsidRDefault="009362C7">
      <w:pPr>
        <w:pStyle w:val="TOC1"/>
        <w:rPr>
          <w:rFonts w:asciiTheme="minorHAnsi" w:hAnsiTheme="minorHAnsi"/>
          <w:noProof/>
          <w:lang w:eastAsia="en-US"/>
        </w:rPr>
      </w:pPr>
      <w:hyperlink w:anchor="_Toc463891952" w:history="1">
        <w:r w:rsidR="002A4AE2" w:rsidRPr="006E0247">
          <w:rPr>
            <w:rStyle w:val="Hyperlink"/>
            <w:noProof/>
          </w:rPr>
          <w:t>SECTION III – CONTINGENCIES</w:t>
        </w:r>
        <w:r w:rsidR="002A4AE2">
          <w:rPr>
            <w:noProof/>
            <w:webHidden/>
          </w:rPr>
          <w:tab/>
        </w:r>
        <w:r w:rsidR="002A4AE2">
          <w:rPr>
            <w:noProof/>
            <w:webHidden/>
          </w:rPr>
          <w:fldChar w:fldCharType="begin"/>
        </w:r>
        <w:r w:rsidR="002A4AE2">
          <w:rPr>
            <w:noProof/>
            <w:webHidden/>
          </w:rPr>
          <w:instrText xml:space="preserve"> PAGEREF _Toc463891952 \h </w:instrText>
        </w:r>
        <w:r w:rsidR="002A4AE2">
          <w:rPr>
            <w:noProof/>
            <w:webHidden/>
          </w:rPr>
        </w:r>
        <w:r w:rsidR="002A4AE2">
          <w:rPr>
            <w:noProof/>
            <w:webHidden/>
          </w:rPr>
          <w:fldChar w:fldCharType="separate"/>
        </w:r>
        <w:r w:rsidR="002A4AE2">
          <w:rPr>
            <w:noProof/>
            <w:webHidden/>
          </w:rPr>
          <w:t>24</w:t>
        </w:r>
        <w:r w:rsidR="002A4AE2">
          <w:rPr>
            <w:noProof/>
            <w:webHidden/>
          </w:rPr>
          <w:fldChar w:fldCharType="end"/>
        </w:r>
      </w:hyperlink>
    </w:p>
    <w:p w:rsidR="002A4AE2" w:rsidRDefault="009362C7">
      <w:pPr>
        <w:pStyle w:val="TOC1"/>
        <w:rPr>
          <w:rFonts w:asciiTheme="minorHAnsi" w:hAnsiTheme="minorHAnsi"/>
          <w:noProof/>
          <w:lang w:eastAsia="en-US"/>
        </w:rPr>
      </w:pPr>
      <w:hyperlink w:anchor="_Toc463891953" w:history="1">
        <w:r w:rsidR="002A4AE2" w:rsidRPr="006E0247">
          <w:rPr>
            <w:rStyle w:val="Hyperlink"/>
            <w:noProof/>
          </w:rPr>
          <w:t>FLOOD PREVENTION &amp; MITIGATION</w:t>
        </w:r>
        <w:r w:rsidR="002A4AE2">
          <w:rPr>
            <w:noProof/>
            <w:webHidden/>
          </w:rPr>
          <w:tab/>
        </w:r>
        <w:r w:rsidR="002A4AE2">
          <w:rPr>
            <w:noProof/>
            <w:webHidden/>
          </w:rPr>
          <w:fldChar w:fldCharType="begin"/>
        </w:r>
        <w:r w:rsidR="002A4AE2">
          <w:rPr>
            <w:noProof/>
            <w:webHidden/>
          </w:rPr>
          <w:instrText xml:space="preserve"> PAGEREF _Toc463891953 \h </w:instrText>
        </w:r>
        <w:r w:rsidR="002A4AE2">
          <w:rPr>
            <w:noProof/>
            <w:webHidden/>
          </w:rPr>
        </w:r>
        <w:r w:rsidR="002A4AE2">
          <w:rPr>
            <w:noProof/>
            <w:webHidden/>
          </w:rPr>
          <w:fldChar w:fldCharType="separate"/>
        </w:r>
        <w:r w:rsidR="002A4AE2">
          <w:rPr>
            <w:noProof/>
            <w:webHidden/>
          </w:rPr>
          <w:t>24</w:t>
        </w:r>
        <w:r w:rsidR="002A4AE2">
          <w:rPr>
            <w:noProof/>
            <w:webHidden/>
          </w:rPr>
          <w:fldChar w:fldCharType="end"/>
        </w:r>
      </w:hyperlink>
    </w:p>
    <w:p w:rsidR="002A4AE2" w:rsidRDefault="009362C7">
      <w:pPr>
        <w:pStyle w:val="TOC1"/>
        <w:rPr>
          <w:rFonts w:asciiTheme="minorHAnsi" w:hAnsiTheme="minorHAnsi"/>
          <w:noProof/>
          <w:lang w:eastAsia="en-US"/>
        </w:rPr>
      </w:pPr>
      <w:hyperlink w:anchor="_Toc463891954" w:history="1">
        <w:r w:rsidR="002A4AE2" w:rsidRPr="006E0247">
          <w:rPr>
            <w:rStyle w:val="Hyperlink"/>
            <w:noProof/>
          </w:rPr>
          <w:t>WASH CONTINGENCY PLANNING</w:t>
        </w:r>
        <w:r w:rsidR="002A4AE2">
          <w:rPr>
            <w:noProof/>
            <w:webHidden/>
          </w:rPr>
          <w:tab/>
        </w:r>
        <w:r w:rsidR="002A4AE2">
          <w:rPr>
            <w:noProof/>
            <w:webHidden/>
          </w:rPr>
          <w:fldChar w:fldCharType="begin"/>
        </w:r>
        <w:r w:rsidR="002A4AE2">
          <w:rPr>
            <w:noProof/>
            <w:webHidden/>
          </w:rPr>
          <w:instrText xml:space="preserve"> PAGEREF _Toc463891954 \h </w:instrText>
        </w:r>
        <w:r w:rsidR="002A4AE2">
          <w:rPr>
            <w:noProof/>
            <w:webHidden/>
          </w:rPr>
        </w:r>
        <w:r w:rsidR="002A4AE2">
          <w:rPr>
            <w:noProof/>
            <w:webHidden/>
          </w:rPr>
          <w:fldChar w:fldCharType="separate"/>
        </w:r>
        <w:r w:rsidR="002A4AE2">
          <w:rPr>
            <w:noProof/>
            <w:webHidden/>
          </w:rPr>
          <w:t>24</w:t>
        </w:r>
        <w:r w:rsidR="002A4AE2">
          <w:rPr>
            <w:noProof/>
            <w:webHidden/>
          </w:rPr>
          <w:fldChar w:fldCharType="end"/>
        </w:r>
      </w:hyperlink>
    </w:p>
    <w:p w:rsidR="002A4AE2" w:rsidRDefault="009362C7">
      <w:pPr>
        <w:pStyle w:val="TOC1"/>
        <w:rPr>
          <w:rFonts w:asciiTheme="minorHAnsi" w:hAnsiTheme="minorHAnsi"/>
          <w:noProof/>
          <w:lang w:eastAsia="en-US"/>
        </w:rPr>
      </w:pPr>
      <w:hyperlink w:anchor="_Toc463891955" w:history="1">
        <w:r w:rsidR="002A4AE2" w:rsidRPr="006E0247">
          <w:rPr>
            <w:rStyle w:val="Hyperlink"/>
            <w:noProof/>
          </w:rPr>
          <w:t>DESIGNATED EMERGENCY SHELTERS</w:t>
        </w:r>
        <w:r w:rsidR="002A4AE2">
          <w:rPr>
            <w:noProof/>
            <w:webHidden/>
          </w:rPr>
          <w:tab/>
        </w:r>
        <w:r w:rsidR="002A4AE2">
          <w:rPr>
            <w:noProof/>
            <w:webHidden/>
          </w:rPr>
          <w:fldChar w:fldCharType="begin"/>
        </w:r>
        <w:r w:rsidR="002A4AE2">
          <w:rPr>
            <w:noProof/>
            <w:webHidden/>
          </w:rPr>
          <w:instrText xml:space="preserve"> PAGEREF _Toc463891955 \h </w:instrText>
        </w:r>
        <w:r w:rsidR="002A4AE2">
          <w:rPr>
            <w:noProof/>
            <w:webHidden/>
          </w:rPr>
        </w:r>
        <w:r w:rsidR="002A4AE2">
          <w:rPr>
            <w:noProof/>
            <w:webHidden/>
          </w:rPr>
          <w:fldChar w:fldCharType="separate"/>
        </w:r>
        <w:r w:rsidR="002A4AE2">
          <w:rPr>
            <w:noProof/>
            <w:webHidden/>
          </w:rPr>
          <w:t>25</w:t>
        </w:r>
        <w:r w:rsidR="002A4AE2">
          <w:rPr>
            <w:noProof/>
            <w:webHidden/>
          </w:rPr>
          <w:fldChar w:fldCharType="end"/>
        </w:r>
      </w:hyperlink>
    </w:p>
    <w:p w:rsidR="002A4AE2" w:rsidRDefault="009362C7">
      <w:pPr>
        <w:pStyle w:val="TOC1"/>
        <w:rPr>
          <w:rFonts w:asciiTheme="minorHAnsi" w:hAnsiTheme="minorHAnsi"/>
          <w:noProof/>
          <w:lang w:eastAsia="en-US"/>
        </w:rPr>
      </w:pPr>
      <w:hyperlink w:anchor="_Toc463891956" w:history="1">
        <w:r w:rsidR="002A4AE2" w:rsidRPr="006E0247">
          <w:rPr>
            <w:rStyle w:val="Hyperlink"/>
            <w:noProof/>
          </w:rPr>
          <w:t>SECTION IV – INFORMATION GAPS &amp; NEEDS</w:t>
        </w:r>
        <w:r w:rsidR="002A4AE2">
          <w:rPr>
            <w:noProof/>
            <w:webHidden/>
          </w:rPr>
          <w:tab/>
        </w:r>
        <w:r w:rsidR="002A4AE2">
          <w:rPr>
            <w:noProof/>
            <w:webHidden/>
          </w:rPr>
          <w:fldChar w:fldCharType="begin"/>
        </w:r>
        <w:r w:rsidR="002A4AE2">
          <w:rPr>
            <w:noProof/>
            <w:webHidden/>
          </w:rPr>
          <w:instrText xml:space="preserve"> PAGEREF _Toc463891956 \h </w:instrText>
        </w:r>
        <w:r w:rsidR="002A4AE2">
          <w:rPr>
            <w:noProof/>
            <w:webHidden/>
          </w:rPr>
        </w:r>
        <w:r w:rsidR="002A4AE2">
          <w:rPr>
            <w:noProof/>
            <w:webHidden/>
          </w:rPr>
          <w:fldChar w:fldCharType="separate"/>
        </w:r>
        <w:r w:rsidR="002A4AE2">
          <w:rPr>
            <w:noProof/>
            <w:webHidden/>
          </w:rPr>
          <w:t>26</w:t>
        </w:r>
        <w:r w:rsidR="002A4AE2">
          <w:rPr>
            <w:noProof/>
            <w:webHidden/>
          </w:rPr>
          <w:fldChar w:fldCharType="end"/>
        </w:r>
      </w:hyperlink>
    </w:p>
    <w:p w:rsidR="002A4AE2" w:rsidRDefault="009362C7">
      <w:pPr>
        <w:pStyle w:val="TOC1"/>
        <w:rPr>
          <w:rFonts w:asciiTheme="minorHAnsi" w:hAnsiTheme="minorHAnsi"/>
          <w:noProof/>
          <w:lang w:eastAsia="en-US"/>
        </w:rPr>
      </w:pPr>
      <w:hyperlink w:anchor="_Toc463891957" w:history="1">
        <w:r w:rsidR="002A4AE2" w:rsidRPr="006E0247">
          <w:rPr>
            <w:rStyle w:val="Hyperlink"/>
            <w:noProof/>
          </w:rPr>
          <w:t>SECTION V – KEY DOCUMENTS &amp; REFERENCES</w:t>
        </w:r>
        <w:r w:rsidR="002A4AE2">
          <w:rPr>
            <w:noProof/>
            <w:webHidden/>
          </w:rPr>
          <w:tab/>
        </w:r>
        <w:r w:rsidR="002A4AE2">
          <w:rPr>
            <w:noProof/>
            <w:webHidden/>
          </w:rPr>
          <w:fldChar w:fldCharType="begin"/>
        </w:r>
        <w:r w:rsidR="002A4AE2">
          <w:rPr>
            <w:noProof/>
            <w:webHidden/>
          </w:rPr>
          <w:instrText xml:space="preserve"> PAGEREF _Toc463891957 \h </w:instrText>
        </w:r>
        <w:r w:rsidR="002A4AE2">
          <w:rPr>
            <w:noProof/>
            <w:webHidden/>
          </w:rPr>
        </w:r>
        <w:r w:rsidR="002A4AE2">
          <w:rPr>
            <w:noProof/>
            <w:webHidden/>
          </w:rPr>
          <w:fldChar w:fldCharType="separate"/>
        </w:r>
        <w:r w:rsidR="002A4AE2">
          <w:rPr>
            <w:noProof/>
            <w:webHidden/>
          </w:rPr>
          <w:t>27</w:t>
        </w:r>
        <w:r w:rsidR="002A4AE2">
          <w:rPr>
            <w:noProof/>
            <w:webHidden/>
          </w:rPr>
          <w:fldChar w:fldCharType="end"/>
        </w:r>
      </w:hyperlink>
    </w:p>
    <w:p w:rsidR="00396C2E" w:rsidRPr="0075548A" w:rsidRDefault="00396515" w:rsidP="00253FEA">
      <w:pPr>
        <w:rPr>
          <w:rStyle w:val="IntenseEmphasis"/>
          <w:b w:val="0"/>
          <w:i w:val="0"/>
          <w:color w:val="0D0D0D" w:themeColor="text1" w:themeTint="F2"/>
        </w:rPr>
      </w:pPr>
      <w:r>
        <w:rPr>
          <w:rStyle w:val="IntenseEmphasis"/>
          <w:rFonts w:eastAsiaTheme="minorEastAsia" w:cs="Arial"/>
          <w:b w:val="0"/>
          <w:i w:val="0"/>
          <w:color w:val="0D0D0D" w:themeColor="text1" w:themeTint="F2"/>
          <w:lang w:val="en-US" w:eastAsia="ja-JP"/>
        </w:rPr>
        <w:fldChar w:fldCharType="end"/>
      </w:r>
    </w:p>
    <w:p w:rsidR="00253FEA" w:rsidRPr="0075548A" w:rsidRDefault="00A30B3E" w:rsidP="00237C33">
      <w:pPr>
        <w:pStyle w:val="heading1wash"/>
        <w:rPr>
          <w:rStyle w:val="IntenseEmphasis"/>
          <w:b/>
          <w:bCs/>
          <w:i w:val="0"/>
          <w:iCs w:val="0"/>
          <w:color w:val="006666"/>
        </w:rPr>
      </w:pPr>
      <w:bookmarkStart w:id="1" w:name="_Toc463891922"/>
      <w:r w:rsidRPr="0075548A">
        <w:rPr>
          <w:rStyle w:val="IntenseEmphasis"/>
          <w:b/>
          <w:bCs/>
          <w:i w:val="0"/>
          <w:iCs w:val="0"/>
          <w:color w:val="006666"/>
        </w:rPr>
        <w:t>List of acronyms</w:t>
      </w:r>
      <w:bookmarkEnd w:id="1"/>
    </w:p>
    <w:p w:rsidR="00253FEA" w:rsidRDefault="00523D78" w:rsidP="00237C33">
      <w:pPr>
        <w:spacing w:after="0"/>
        <w:rPr>
          <w:lang w:val="en-US"/>
        </w:rPr>
      </w:pPr>
      <w:r w:rsidRPr="0075548A">
        <w:rPr>
          <w:b/>
          <w:bCs/>
          <w:lang w:val="en-US"/>
        </w:rPr>
        <w:t>WASH</w:t>
      </w:r>
      <w:r w:rsidR="00237C33" w:rsidRPr="0075548A">
        <w:rPr>
          <w:lang w:val="en-US"/>
        </w:rPr>
        <w:tab/>
      </w:r>
      <w:r w:rsidR="00FC4522" w:rsidRPr="0075548A">
        <w:rPr>
          <w:lang w:val="en-US"/>
        </w:rPr>
        <w:tab/>
      </w:r>
      <w:r w:rsidRPr="0075548A">
        <w:rPr>
          <w:lang w:val="en-US"/>
        </w:rPr>
        <w:t>Water, Sanitation and Hygiene</w:t>
      </w:r>
    </w:p>
    <w:p w:rsidR="00861DBB" w:rsidRPr="0075548A" w:rsidRDefault="00861DBB" w:rsidP="00237C33">
      <w:pPr>
        <w:spacing w:after="0"/>
        <w:rPr>
          <w:lang w:val="en-US"/>
        </w:rPr>
      </w:pPr>
    </w:p>
    <w:p w:rsidR="00253FEA" w:rsidRPr="0075548A" w:rsidRDefault="00A30B3E" w:rsidP="00500DAB">
      <w:pPr>
        <w:pStyle w:val="heading1wash"/>
        <w:rPr>
          <w:rStyle w:val="IntenseEmphasis"/>
          <w:b/>
          <w:bCs/>
          <w:i w:val="0"/>
          <w:iCs w:val="0"/>
          <w:color w:val="006666"/>
        </w:rPr>
      </w:pPr>
      <w:bookmarkStart w:id="2" w:name="_Toc463891923"/>
      <w:r w:rsidRPr="0075548A">
        <w:rPr>
          <w:rStyle w:val="IntenseEmphasis"/>
          <w:b/>
          <w:bCs/>
          <w:i w:val="0"/>
          <w:iCs w:val="0"/>
          <w:color w:val="006666"/>
        </w:rPr>
        <w:t>List of figures, tables and maps</w:t>
      </w:r>
      <w:bookmarkEnd w:id="2"/>
    </w:p>
    <w:p w:rsidR="00343828" w:rsidRPr="0075548A" w:rsidRDefault="00500DAB">
      <w:pPr>
        <w:pStyle w:val="TableofFigures"/>
        <w:tabs>
          <w:tab w:val="right" w:leader="dot" w:pos="9016"/>
        </w:tabs>
        <w:rPr>
          <w:rFonts w:eastAsiaTheme="minorEastAsia"/>
          <w:noProof/>
          <w:lang w:val="en-US"/>
        </w:rPr>
      </w:pPr>
      <w:r w:rsidRPr="0075548A">
        <w:rPr>
          <w:b/>
          <w:bCs/>
        </w:rPr>
        <w:fldChar w:fldCharType="begin"/>
      </w:r>
      <w:r w:rsidRPr="0075548A">
        <w:rPr>
          <w:b/>
          <w:bCs/>
        </w:rPr>
        <w:instrText xml:space="preserve"> TOC \h \z \c "Figure" </w:instrText>
      </w:r>
      <w:r w:rsidRPr="0075548A">
        <w:rPr>
          <w:b/>
          <w:bCs/>
        </w:rPr>
        <w:fldChar w:fldCharType="separate"/>
      </w:r>
      <w:hyperlink w:anchor="_Toc436991710" w:history="1">
        <w:r w:rsidR="00861DBB">
          <w:rPr>
            <w:rStyle w:val="Hyperlink"/>
            <w:noProof/>
          </w:rPr>
          <w:t xml:space="preserve">Figure 1: </w:t>
        </w:r>
        <w:r w:rsidR="00343828" w:rsidRPr="0075548A">
          <w:rPr>
            <w:noProof/>
            <w:webHidden/>
          </w:rPr>
          <w:tab/>
        </w:r>
        <w:r w:rsidR="00343828" w:rsidRPr="0075548A">
          <w:rPr>
            <w:noProof/>
            <w:webHidden/>
          </w:rPr>
          <w:fldChar w:fldCharType="begin"/>
        </w:r>
        <w:r w:rsidR="00343828" w:rsidRPr="0075548A">
          <w:rPr>
            <w:noProof/>
            <w:webHidden/>
          </w:rPr>
          <w:instrText xml:space="preserve"> PAGEREF _Toc436991710 \h </w:instrText>
        </w:r>
        <w:r w:rsidR="00343828" w:rsidRPr="0075548A">
          <w:rPr>
            <w:noProof/>
            <w:webHidden/>
          </w:rPr>
        </w:r>
        <w:r w:rsidR="00343828" w:rsidRPr="0075548A">
          <w:rPr>
            <w:noProof/>
            <w:webHidden/>
          </w:rPr>
          <w:fldChar w:fldCharType="separate"/>
        </w:r>
        <w:r w:rsidR="00343828" w:rsidRPr="0075548A">
          <w:rPr>
            <w:noProof/>
            <w:webHidden/>
          </w:rPr>
          <w:t>4</w:t>
        </w:r>
        <w:r w:rsidR="00343828" w:rsidRPr="0075548A">
          <w:rPr>
            <w:noProof/>
            <w:webHidden/>
          </w:rPr>
          <w:fldChar w:fldCharType="end"/>
        </w:r>
      </w:hyperlink>
    </w:p>
    <w:p w:rsidR="00343828" w:rsidRPr="0075548A" w:rsidRDefault="00500DAB" w:rsidP="00500DAB">
      <w:pPr>
        <w:pStyle w:val="Heading1"/>
        <w:spacing w:before="0"/>
        <w:rPr>
          <w:rFonts w:ascii="Arial Narrow" w:hAnsi="Arial Narrow"/>
          <w:noProof/>
        </w:rPr>
      </w:pPr>
      <w:r w:rsidRPr="0075548A">
        <w:rPr>
          <w:rFonts w:ascii="Arial Narrow" w:eastAsiaTheme="minorHAnsi" w:hAnsi="Arial Narrow" w:cstheme="minorBidi"/>
          <w:b w:val="0"/>
          <w:bCs w:val="0"/>
          <w:color w:val="auto"/>
          <w:sz w:val="22"/>
          <w:szCs w:val="22"/>
        </w:rPr>
        <w:fldChar w:fldCharType="end"/>
      </w:r>
      <w:r w:rsidRPr="0075548A">
        <w:rPr>
          <w:rFonts w:ascii="Arial Narrow" w:eastAsiaTheme="minorHAnsi" w:hAnsi="Arial Narrow" w:cstheme="minorBidi"/>
          <w:b w:val="0"/>
          <w:bCs w:val="0"/>
          <w:color w:val="auto"/>
          <w:sz w:val="22"/>
          <w:szCs w:val="22"/>
        </w:rPr>
        <w:fldChar w:fldCharType="begin"/>
      </w:r>
      <w:r w:rsidRPr="0075548A">
        <w:rPr>
          <w:rFonts w:ascii="Arial Narrow" w:eastAsiaTheme="minorHAnsi" w:hAnsi="Arial Narrow" w:cstheme="minorBidi"/>
          <w:b w:val="0"/>
          <w:bCs w:val="0"/>
          <w:color w:val="auto"/>
          <w:sz w:val="22"/>
          <w:szCs w:val="22"/>
        </w:rPr>
        <w:instrText xml:space="preserve"> TOC \h \z \c "Table" </w:instrText>
      </w:r>
      <w:r w:rsidRPr="0075548A">
        <w:rPr>
          <w:rFonts w:ascii="Arial Narrow" w:eastAsiaTheme="minorHAnsi" w:hAnsi="Arial Narrow" w:cstheme="minorBidi"/>
          <w:b w:val="0"/>
          <w:bCs w:val="0"/>
          <w:color w:val="auto"/>
          <w:sz w:val="22"/>
          <w:szCs w:val="22"/>
        </w:rPr>
        <w:fldChar w:fldCharType="separate"/>
      </w:r>
    </w:p>
    <w:p w:rsidR="00343828" w:rsidRPr="0075548A" w:rsidRDefault="009362C7">
      <w:pPr>
        <w:pStyle w:val="TableofFigures"/>
        <w:tabs>
          <w:tab w:val="right" w:leader="dot" w:pos="9016"/>
        </w:tabs>
        <w:rPr>
          <w:rFonts w:eastAsiaTheme="minorEastAsia"/>
          <w:noProof/>
          <w:lang w:val="en-US"/>
        </w:rPr>
      </w:pPr>
      <w:hyperlink w:anchor="_Toc436991692" w:history="1">
        <w:r w:rsidR="00343828" w:rsidRPr="0075548A">
          <w:rPr>
            <w:rStyle w:val="Hyperlink"/>
            <w:noProof/>
          </w:rPr>
          <w:t>Table 1</w:t>
        </w:r>
        <w:r w:rsidR="00861DBB">
          <w:rPr>
            <w:rStyle w:val="Hyperlink"/>
            <w:noProof/>
            <w:lang w:val="en-US"/>
          </w:rPr>
          <w:t xml:space="preserve">: </w:t>
        </w:r>
        <w:r w:rsidR="00343828" w:rsidRPr="0075548A">
          <w:rPr>
            <w:noProof/>
            <w:webHidden/>
          </w:rPr>
          <w:tab/>
        </w:r>
        <w:r w:rsidR="00343828" w:rsidRPr="0075548A">
          <w:rPr>
            <w:noProof/>
            <w:webHidden/>
          </w:rPr>
          <w:fldChar w:fldCharType="begin"/>
        </w:r>
        <w:r w:rsidR="00343828" w:rsidRPr="0075548A">
          <w:rPr>
            <w:noProof/>
            <w:webHidden/>
          </w:rPr>
          <w:instrText xml:space="preserve"> PAGEREF _Toc436991692 \h </w:instrText>
        </w:r>
        <w:r w:rsidR="00343828" w:rsidRPr="0075548A">
          <w:rPr>
            <w:noProof/>
            <w:webHidden/>
          </w:rPr>
        </w:r>
        <w:r w:rsidR="00343828" w:rsidRPr="0075548A">
          <w:rPr>
            <w:noProof/>
            <w:webHidden/>
          </w:rPr>
          <w:fldChar w:fldCharType="separate"/>
        </w:r>
        <w:r w:rsidR="00343828" w:rsidRPr="0075548A">
          <w:rPr>
            <w:noProof/>
            <w:webHidden/>
          </w:rPr>
          <w:t>4</w:t>
        </w:r>
        <w:r w:rsidR="00343828" w:rsidRPr="0075548A">
          <w:rPr>
            <w:noProof/>
            <w:webHidden/>
          </w:rPr>
          <w:fldChar w:fldCharType="end"/>
        </w:r>
      </w:hyperlink>
    </w:p>
    <w:p w:rsidR="00343828" w:rsidRPr="0075548A" w:rsidRDefault="00500DAB" w:rsidP="00500DAB">
      <w:pPr>
        <w:pStyle w:val="Heading1"/>
        <w:spacing w:before="0"/>
        <w:rPr>
          <w:rFonts w:ascii="Arial Narrow" w:hAnsi="Arial Narrow"/>
          <w:noProof/>
        </w:rPr>
      </w:pPr>
      <w:r w:rsidRPr="0075548A">
        <w:rPr>
          <w:rFonts w:ascii="Arial Narrow" w:eastAsiaTheme="minorHAnsi" w:hAnsi="Arial Narrow" w:cstheme="minorBidi"/>
          <w:b w:val="0"/>
          <w:bCs w:val="0"/>
          <w:color w:val="auto"/>
          <w:sz w:val="22"/>
          <w:szCs w:val="22"/>
        </w:rPr>
        <w:fldChar w:fldCharType="end"/>
      </w:r>
      <w:r w:rsidRPr="0075548A">
        <w:rPr>
          <w:rFonts w:ascii="Arial Narrow" w:eastAsiaTheme="minorHAnsi" w:hAnsi="Arial Narrow" w:cstheme="minorBidi"/>
          <w:b w:val="0"/>
          <w:bCs w:val="0"/>
          <w:color w:val="auto"/>
          <w:sz w:val="22"/>
          <w:szCs w:val="22"/>
        </w:rPr>
        <w:fldChar w:fldCharType="begin"/>
      </w:r>
      <w:r w:rsidRPr="0075548A">
        <w:rPr>
          <w:rFonts w:ascii="Arial Narrow" w:eastAsiaTheme="minorHAnsi" w:hAnsi="Arial Narrow" w:cstheme="minorBidi"/>
          <w:b w:val="0"/>
          <w:bCs w:val="0"/>
          <w:color w:val="auto"/>
          <w:sz w:val="22"/>
          <w:szCs w:val="22"/>
        </w:rPr>
        <w:instrText xml:space="preserve"> TOC \h \z \c "Map" </w:instrText>
      </w:r>
      <w:r w:rsidRPr="0075548A">
        <w:rPr>
          <w:rFonts w:ascii="Arial Narrow" w:eastAsiaTheme="minorHAnsi" w:hAnsi="Arial Narrow" w:cstheme="minorBidi"/>
          <w:b w:val="0"/>
          <w:bCs w:val="0"/>
          <w:color w:val="auto"/>
          <w:sz w:val="22"/>
          <w:szCs w:val="22"/>
        </w:rPr>
        <w:fldChar w:fldCharType="separate"/>
      </w:r>
    </w:p>
    <w:p w:rsidR="00343828" w:rsidRPr="0075548A" w:rsidRDefault="009362C7">
      <w:pPr>
        <w:pStyle w:val="TableofFigures"/>
        <w:tabs>
          <w:tab w:val="right" w:leader="dot" w:pos="9016"/>
        </w:tabs>
        <w:rPr>
          <w:rFonts w:eastAsiaTheme="minorEastAsia"/>
          <w:noProof/>
          <w:lang w:val="en-US"/>
        </w:rPr>
      </w:pPr>
      <w:hyperlink w:anchor="_Toc436991693" w:history="1">
        <w:r w:rsidR="00343828" w:rsidRPr="0075548A">
          <w:rPr>
            <w:rStyle w:val="Hyperlink"/>
            <w:noProof/>
          </w:rPr>
          <w:t>Map 1</w:t>
        </w:r>
        <w:r w:rsidR="00861DBB">
          <w:rPr>
            <w:rStyle w:val="Hyperlink"/>
            <w:noProof/>
            <w:lang w:val="en-US"/>
          </w:rPr>
          <w:t xml:space="preserve">: </w:t>
        </w:r>
        <w:r w:rsidR="00343828" w:rsidRPr="0075548A">
          <w:rPr>
            <w:noProof/>
            <w:webHidden/>
          </w:rPr>
          <w:tab/>
        </w:r>
        <w:r w:rsidR="00343828" w:rsidRPr="0075548A">
          <w:rPr>
            <w:noProof/>
            <w:webHidden/>
          </w:rPr>
          <w:fldChar w:fldCharType="begin"/>
        </w:r>
        <w:r w:rsidR="00343828" w:rsidRPr="0075548A">
          <w:rPr>
            <w:noProof/>
            <w:webHidden/>
          </w:rPr>
          <w:instrText xml:space="preserve"> PAGEREF _Toc436991693 \h </w:instrText>
        </w:r>
        <w:r w:rsidR="00343828" w:rsidRPr="0075548A">
          <w:rPr>
            <w:noProof/>
            <w:webHidden/>
          </w:rPr>
        </w:r>
        <w:r w:rsidR="00343828" w:rsidRPr="0075548A">
          <w:rPr>
            <w:noProof/>
            <w:webHidden/>
          </w:rPr>
          <w:fldChar w:fldCharType="separate"/>
        </w:r>
        <w:r w:rsidR="00343828" w:rsidRPr="0075548A">
          <w:rPr>
            <w:noProof/>
            <w:webHidden/>
          </w:rPr>
          <w:t>4</w:t>
        </w:r>
        <w:r w:rsidR="00343828" w:rsidRPr="0075548A">
          <w:rPr>
            <w:noProof/>
            <w:webHidden/>
          </w:rPr>
          <w:fldChar w:fldCharType="end"/>
        </w:r>
      </w:hyperlink>
    </w:p>
    <w:p w:rsidR="00237C33" w:rsidRPr="0075548A" w:rsidRDefault="00500DAB" w:rsidP="00237C33">
      <w:pPr>
        <w:pStyle w:val="Heading1"/>
        <w:rPr>
          <w:rFonts w:ascii="Arial Narrow" w:hAnsi="Arial Narrow"/>
        </w:rPr>
      </w:pPr>
      <w:r w:rsidRPr="0075548A">
        <w:rPr>
          <w:rFonts w:ascii="Arial Narrow" w:eastAsiaTheme="minorHAnsi" w:hAnsi="Arial Narrow" w:cstheme="minorBidi"/>
          <w:b w:val="0"/>
          <w:bCs w:val="0"/>
          <w:color w:val="auto"/>
          <w:sz w:val="22"/>
          <w:szCs w:val="22"/>
        </w:rPr>
        <w:fldChar w:fldCharType="end"/>
      </w:r>
    </w:p>
    <w:p w:rsidR="00253FEA" w:rsidRPr="0075548A" w:rsidRDefault="00253FEA" w:rsidP="00253FEA"/>
    <w:p w:rsidR="00BA2340" w:rsidRPr="0075548A" w:rsidRDefault="00BA2340">
      <w:pPr>
        <w:rPr>
          <w:rFonts w:eastAsiaTheme="majorEastAsia" w:cstheme="majorBidi"/>
          <w:b/>
          <w:bCs/>
          <w:color w:val="004A48" w:themeColor="accent1" w:themeShade="BF"/>
          <w:sz w:val="28"/>
          <w:szCs w:val="28"/>
        </w:rPr>
      </w:pPr>
      <w:r w:rsidRPr="0075548A">
        <w:br w:type="page"/>
      </w:r>
    </w:p>
    <w:p w:rsidR="0013539B" w:rsidRPr="0075548A" w:rsidRDefault="0013539B" w:rsidP="0013539B">
      <w:pPr>
        <w:pStyle w:val="heading1wash"/>
        <w:shd w:val="clear" w:color="auto" w:fill="00CAC5" w:themeFill="accent1" w:themeFillTint="BF"/>
        <w:spacing w:before="120" w:after="120"/>
      </w:pPr>
      <w:bookmarkStart w:id="3" w:name="_Toc463891924"/>
      <w:r>
        <w:lastRenderedPageBreak/>
        <w:t xml:space="preserve">SECTION I – </w:t>
      </w:r>
      <w:r w:rsidR="007E6DF2">
        <w:t>BACKGROUND &amp; CONTEXT</w:t>
      </w:r>
      <w:bookmarkEnd w:id="3"/>
    </w:p>
    <w:p w:rsidR="0016602F" w:rsidRDefault="00164564" w:rsidP="0013539B">
      <w:pPr>
        <w:rPr>
          <w:rFonts w:cs="Arial"/>
        </w:rPr>
      </w:pPr>
      <w:r>
        <w:rPr>
          <w:rFonts w:cs="Arial"/>
        </w:rPr>
        <w:t>The WASH situation in Gaza is complex, affected by several underlying and interlinked challenges that have been well-documented by a number of institutions:</w:t>
      </w:r>
    </w:p>
    <w:tbl>
      <w:tblPr>
        <w:tblStyle w:val="TableGrid"/>
        <w:tblW w:w="0" w:type="auto"/>
        <w:tblLook w:val="04A0" w:firstRow="1" w:lastRow="0" w:firstColumn="1" w:lastColumn="0" w:noHBand="0" w:noVBand="1"/>
      </w:tblPr>
      <w:tblGrid>
        <w:gridCol w:w="1885"/>
        <w:gridCol w:w="8571"/>
      </w:tblGrid>
      <w:tr w:rsidR="00164564" w:rsidTr="00164564">
        <w:tc>
          <w:tcPr>
            <w:tcW w:w="1885" w:type="dxa"/>
          </w:tcPr>
          <w:p w:rsidR="00164564" w:rsidRDefault="00164564" w:rsidP="0013539B">
            <w:pPr>
              <w:rPr>
                <w:rFonts w:cs="Arial"/>
              </w:rPr>
            </w:pPr>
            <w:r>
              <w:rPr>
                <w:rFonts w:cs="Arial"/>
              </w:rPr>
              <w:t>Blockade</w:t>
            </w:r>
          </w:p>
        </w:tc>
        <w:tc>
          <w:tcPr>
            <w:tcW w:w="8571" w:type="dxa"/>
          </w:tcPr>
          <w:p w:rsidR="00DD3E29" w:rsidRDefault="00164564" w:rsidP="0013539B">
            <w:pPr>
              <w:rPr>
                <w:rFonts w:cs="Arial"/>
              </w:rPr>
            </w:pPr>
            <w:r>
              <w:rPr>
                <w:rFonts w:cs="Arial"/>
              </w:rPr>
              <w:t>The Israeli blockade on Gaza has been in place since 2007, limiting the entry of ‘dual use’ materials that might be used for a military purpose</w:t>
            </w:r>
            <w:r w:rsidR="00DD3E29">
              <w:rPr>
                <w:rFonts w:cs="Arial"/>
              </w:rPr>
              <w:t xml:space="preserve">. </w:t>
            </w:r>
            <w:r w:rsidR="00243B88">
              <w:rPr>
                <w:rFonts w:cs="Arial"/>
              </w:rPr>
              <w:t xml:space="preserve">This </w:t>
            </w:r>
            <w:r w:rsidR="00DD3E29">
              <w:rPr>
                <w:rFonts w:cs="Arial"/>
              </w:rPr>
              <w:t xml:space="preserve">situation has been exacerbated since the </w:t>
            </w:r>
            <w:r w:rsidR="00861DBB">
              <w:rPr>
                <w:rFonts w:cs="Arial"/>
              </w:rPr>
              <w:t xml:space="preserve">cut-off of cheap fuel supplies from </w:t>
            </w:r>
            <w:r w:rsidR="00DD3E29">
              <w:rPr>
                <w:rFonts w:cs="Arial"/>
              </w:rPr>
              <w:t>Egypt</w:t>
            </w:r>
            <w:r w:rsidR="00243B88">
              <w:rPr>
                <w:rFonts w:cs="Arial"/>
              </w:rPr>
              <w:t>, limiting th</w:t>
            </w:r>
            <w:r w:rsidR="00861DBB">
              <w:rPr>
                <w:rFonts w:cs="Arial"/>
              </w:rPr>
              <w:t xml:space="preserve">e availability of </w:t>
            </w:r>
            <w:r w:rsidR="00243B88">
              <w:rPr>
                <w:rFonts w:cs="Arial"/>
              </w:rPr>
              <w:t xml:space="preserve">fuel for electricity generation, and the ability to source key technical equipment. </w:t>
            </w:r>
          </w:p>
          <w:p w:rsidR="00DD3E29" w:rsidRDefault="00DD3E29" w:rsidP="0013539B">
            <w:pPr>
              <w:rPr>
                <w:rFonts w:cs="Arial"/>
              </w:rPr>
            </w:pPr>
          </w:p>
          <w:p w:rsidR="00DD3E29" w:rsidRDefault="00DD3E29" w:rsidP="0013539B">
            <w:pPr>
              <w:rPr>
                <w:rFonts w:cs="Arial"/>
              </w:rPr>
            </w:pPr>
            <w:r>
              <w:rPr>
                <w:rFonts w:cs="Arial"/>
              </w:rPr>
              <w:t xml:space="preserve">This impacts both the advancement of development and reconstruction projects, in addition to the power supply to keep existing infrastructure working. Although the Gaza Reconstruction Mechanisms established following the 2014 Operation Protective Edge is allowing large amounts of construction materials into Gaza, key technical equipment for the WASH sector remains problematic leading to significant delays. </w:t>
            </w:r>
          </w:p>
          <w:p w:rsidR="009F1524" w:rsidRDefault="009F1524" w:rsidP="0013539B">
            <w:pPr>
              <w:rPr>
                <w:rFonts w:cs="Arial"/>
              </w:rPr>
            </w:pPr>
          </w:p>
          <w:p w:rsidR="009F1524" w:rsidRDefault="009F1524" w:rsidP="0013539B">
            <w:pPr>
              <w:rPr>
                <w:rFonts w:cs="Arial"/>
              </w:rPr>
            </w:pPr>
            <w:r>
              <w:rPr>
                <w:rFonts w:cs="Arial"/>
              </w:rPr>
              <w:t xml:space="preserve">In addition, to ensure minimum service levels additional fuel is needed to ensure water provision, solid waste collection, and hospital power. Given the high costs and perpetual need, there has been perpetual difficulty in ensuring sufficient funds to provide this fuel to the facilities. Currently, funding from </w:t>
            </w:r>
            <w:r w:rsidRPr="009F1524">
              <w:rPr>
                <w:rFonts w:cs="Arial"/>
                <w:highlight w:val="yellow"/>
              </w:rPr>
              <w:t>xxxxxxxx</w:t>
            </w:r>
            <w:r>
              <w:rPr>
                <w:rFonts w:cs="Arial"/>
              </w:rPr>
              <w:t xml:space="preserve"> is ensured only until </w:t>
            </w:r>
            <w:r w:rsidRPr="009F1524">
              <w:rPr>
                <w:rFonts w:cs="Arial"/>
                <w:highlight w:val="yellow"/>
              </w:rPr>
              <w:t>xxxxxxxx</w:t>
            </w:r>
            <w:r>
              <w:rPr>
                <w:rFonts w:cs="Arial"/>
              </w:rPr>
              <w:t xml:space="preserve"> 2017. </w:t>
            </w:r>
          </w:p>
        </w:tc>
      </w:tr>
      <w:tr w:rsidR="00164564" w:rsidTr="00164564">
        <w:tc>
          <w:tcPr>
            <w:tcW w:w="1885" w:type="dxa"/>
          </w:tcPr>
          <w:p w:rsidR="00164564" w:rsidRDefault="00164564" w:rsidP="0013539B">
            <w:pPr>
              <w:rPr>
                <w:rFonts w:cs="Arial"/>
              </w:rPr>
            </w:pPr>
            <w:r>
              <w:rPr>
                <w:rFonts w:cs="Arial"/>
              </w:rPr>
              <w:t>Aquifer depletion</w:t>
            </w:r>
          </w:p>
        </w:tc>
        <w:tc>
          <w:tcPr>
            <w:tcW w:w="8571" w:type="dxa"/>
          </w:tcPr>
          <w:p w:rsidR="00164564" w:rsidRDefault="00DD3E29" w:rsidP="0013539B">
            <w:pPr>
              <w:rPr>
                <w:rFonts w:cs="Arial"/>
              </w:rPr>
            </w:pPr>
            <w:r>
              <w:rPr>
                <w:rFonts w:cs="Arial"/>
              </w:rPr>
              <w:t xml:space="preserve">Gaza relies almost exclusively on the underlying Coastal Aquifer for all water requirements for households, agriculture and industry. </w:t>
            </w:r>
            <w:r w:rsidR="00AF7E38">
              <w:rPr>
                <w:rFonts w:cs="Arial"/>
              </w:rPr>
              <w:t>The aquifer is being overexploited beyond its sustainable yield, leading to a deterioration in water quality, and lasting damage to the aquifer proper</w:t>
            </w:r>
            <w:r w:rsidR="000C7997">
              <w:rPr>
                <w:rFonts w:cs="Arial"/>
              </w:rPr>
              <w:t xml:space="preserve">, as it will take years to recover. </w:t>
            </w:r>
          </w:p>
          <w:p w:rsidR="000C7997" w:rsidRDefault="000C7997" w:rsidP="0013539B">
            <w:pPr>
              <w:rPr>
                <w:rFonts w:cs="Arial"/>
              </w:rPr>
            </w:pPr>
          </w:p>
          <w:p w:rsidR="00243B88" w:rsidRDefault="00243B88" w:rsidP="0013539B">
            <w:pPr>
              <w:rPr>
                <w:rFonts w:cs="Arial"/>
              </w:rPr>
            </w:pPr>
            <w:r>
              <w:rPr>
                <w:rFonts w:cs="Arial"/>
              </w:rPr>
              <w:t xml:space="preserve">As a direct consequence, the quality of water pumped from the aquifer is largely undrinkable, with high levels of chlorides and nitrates, which also affects its use for agricultural irrigation. Most drinking water </w:t>
            </w:r>
            <w:r w:rsidR="009F1524">
              <w:rPr>
                <w:rFonts w:cs="Arial"/>
              </w:rPr>
              <w:t xml:space="preserve">for households and key institutions (health centers, schools, etc.) </w:t>
            </w:r>
            <w:r>
              <w:rPr>
                <w:rFonts w:cs="Arial"/>
              </w:rPr>
              <w:t xml:space="preserve">is supplied from small scale desalination plants produced and distributed through service providers and private water producers. </w:t>
            </w:r>
          </w:p>
          <w:p w:rsidR="00243B88" w:rsidRDefault="00243B88" w:rsidP="0013539B">
            <w:pPr>
              <w:rPr>
                <w:rFonts w:cs="Arial"/>
              </w:rPr>
            </w:pPr>
          </w:p>
          <w:p w:rsidR="002565B5" w:rsidRDefault="000C7997" w:rsidP="0013539B">
            <w:pPr>
              <w:rPr>
                <w:rFonts w:cs="Arial"/>
              </w:rPr>
            </w:pPr>
            <w:r>
              <w:rPr>
                <w:rFonts w:cs="Arial"/>
              </w:rPr>
              <w:t xml:space="preserve">Although the PWA and CMWU have developed a strategic plan, involving large-scale desalination and the treatment and reuse of </w:t>
            </w:r>
            <w:r w:rsidR="00B457B6">
              <w:rPr>
                <w:rFonts w:cs="Arial"/>
              </w:rPr>
              <w:t xml:space="preserve">storm- and </w:t>
            </w:r>
            <w:r>
              <w:rPr>
                <w:rFonts w:cs="Arial"/>
              </w:rPr>
              <w:t xml:space="preserve">waste-water, progress is slow given the blockade, and will continue to be affected by </w:t>
            </w:r>
            <w:r w:rsidR="00C3258C">
              <w:rPr>
                <w:rFonts w:cs="Arial"/>
              </w:rPr>
              <w:t xml:space="preserve">the power-crisis. </w:t>
            </w:r>
          </w:p>
        </w:tc>
      </w:tr>
      <w:tr w:rsidR="00164564" w:rsidTr="00164564">
        <w:tc>
          <w:tcPr>
            <w:tcW w:w="1885" w:type="dxa"/>
          </w:tcPr>
          <w:p w:rsidR="00164564" w:rsidRDefault="00164564" w:rsidP="0013539B">
            <w:pPr>
              <w:rPr>
                <w:rFonts w:cs="Arial"/>
              </w:rPr>
            </w:pPr>
            <w:r>
              <w:rPr>
                <w:rFonts w:cs="Arial"/>
              </w:rPr>
              <w:t>Recurrent conflict</w:t>
            </w:r>
          </w:p>
        </w:tc>
        <w:tc>
          <w:tcPr>
            <w:tcW w:w="8571" w:type="dxa"/>
          </w:tcPr>
          <w:p w:rsidR="00B457B6" w:rsidRDefault="00C3258C" w:rsidP="00B457B6">
            <w:pPr>
              <w:rPr>
                <w:rFonts w:cs="Arial"/>
              </w:rPr>
            </w:pPr>
            <w:r>
              <w:rPr>
                <w:rFonts w:cs="Arial"/>
              </w:rPr>
              <w:t xml:space="preserve">Since the establishment of the blockade, military incursions have occurred notably in 2009 (Operation Cast Lead), </w:t>
            </w:r>
            <w:r w:rsidR="00861DBB">
              <w:rPr>
                <w:rFonts w:cs="Arial"/>
              </w:rPr>
              <w:t xml:space="preserve">in 2012 (Operation Pillar of Clouds), </w:t>
            </w:r>
            <w:r>
              <w:rPr>
                <w:rFonts w:cs="Arial"/>
              </w:rPr>
              <w:t>and in 2014 (Operation Protective Edge). These conflicts have led to direct damages to both the power, water, and waste-water infrastructures</w:t>
            </w:r>
            <w:r w:rsidR="00B457B6">
              <w:rPr>
                <w:rFonts w:cs="Arial"/>
              </w:rPr>
              <w:t xml:space="preserve">, effectively destroying significant development investments made previously, and impacting not only household access but also institutional, agricultural and industrial access. </w:t>
            </w:r>
          </w:p>
          <w:p w:rsidR="00B457B6" w:rsidRDefault="00B457B6" w:rsidP="00B457B6">
            <w:pPr>
              <w:rPr>
                <w:rFonts w:cs="Arial"/>
              </w:rPr>
            </w:pPr>
          </w:p>
          <w:p w:rsidR="00164564" w:rsidRDefault="00B457B6" w:rsidP="00243B88">
            <w:pPr>
              <w:rPr>
                <w:rFonts w:cs="Arial"/>
              </w:rPr>
            </w:pPr>
            <w:r>
              <w:rPr>
                <w:rFonts w:cs="Arial"/>
              </w:rPr>
              <w:t>I</w:t>
            </w:r>
            <w:r w:rsidR="00C3258C">
              <w:rPr>
                <w:rFonts w:cs="Arial"/>
              </w:rPr>
              <w:t>n addition</w:t>
            </w:r>
            <w:r>
              <w:rPr>
                <w:rFonts w:cs="Arial"/>
              </w:rPr>
              <w:t xml:space="preserve">, these conflicts have led </w:t>
            </w:r>
            <w:r w:rsidR="00C3258C">
              <w:rPr>
                <w:rFonts w:cs="Arial"/>
              </w:rPr>
              <w:t>to the displacement of thousands of families and the destruction or damage</w:t>
            </w:r>
            <w:r w:rsidR="00243B88">
              <w:rPr>
                <w:rFonts w:cs="Arial"/>
              </w:rPr>
              <w:t xml:space="preserve"> of</w:t>
            </w:r>
            <w:r w:rsidR="00C3258C">
              <w:rPr>
                <w:rFonts w:cs="Arial"/>
              </w:rPr>
              <w:t xml:space="preserve"> thousands of dwellings. </w:t>
            </w:r>
            <w:r>
              <w:rPr>
                <w:rFonts w:cs="Arial"/>
              </w:rPr>
              <w:t>Two years on from the most recent conflict, a significant proportion of those affected by the conflict remain displaced</w:t>
            </w:r>
            <w:r w:rsidR="009F1524">
              <w:rPr>
                <w:rFonts w:cs="Arial"/>
              </w:rPr>
              <w:t xml:space="preserve"> from their original dwellings</w:t>
            </w:r>
            <w:r>
              <w:rPr>
                <w:rFonts w:cs="Arial"/>
              </w:rPr>
              <w:t xml:space="preserve">, or </w:t>
            </w:r>
            <w:r w:rsidR="00243B88">
              <w:rPr>
                <w:rFonts w:cs="Arial"/>
              </w:rPr>
              <w:t xml:space="preserve">continue to face </w:t>
            </w:r>
            <w:r>
              <w:rPr>
                <w:rFonts w:cs="Arial"/>
              </w:rPr>
              <w:t xml:space="preserve">reduced </w:t>
            </w:r>
            <w:r w:rsidR="00243B88">
              <w:rPr>
                <w:rFonts w:cs="Arial"/>
              </w:rPr>
              <w:t xml:space="preserve">levels of </w:t>
            </w:r>
            <w:r>
              <w:rPr>
                <w:rFonts w:cs="Arial"/>
              </w:rPr>
              <w:t xml:space="preserve">access. </w:t>
            </w:r>
          </w:p>
        </w:tc>
      </w:tr>
    </w:tbl>
    <w:p w:rsidR="00164564" w:rsidRDefault="00164564" w:rsidP="0013539B">
      <w:pPr>
        <w:rPr>
          <w:rFonts w:cs="Arial"/>
        </w:rPr>
      </w:pPr>
    </w:p>
    <w:p w:rsidR="00E202A3" w:rsidRDefault="00E202A3">
      <w:pPr>
        <w:rPr>
          <w:rFonts w:eastAsiaTheme="majorEastAsia" w:cs="Arial"/>
          <w:b/>
          <w:bCs/>
          <w:color w:val="006666"/>
          <w:sz w:val="28"/>
          <w:szCs w:val="28"/>
        </w:rPr>
      </w:pPr>
      <w:r>
        <w:br w:type="page"/>
      </w:r>
    </w:p>
    <w:p w:rsidR="007D430B" w:rsidRPr="0075548A" w:rsidRDefault="007D430B" w:rsidP="007D430B">
      <w:pPr>
        <w:pStyle w:val="heading1wash"/>
        <w:shd w:val="clear" w:color="auto" w:fill="00CAC5" w:themeFill="accent1" w:themeFillTint="BF"/>
        <w:spacing w:before="120" w:after="120"/>
      </w:pPr>
      <w:bookmarkStart w:id="4" w:name="_Toc463891925"/>
      <w:r>
        <w:lastRenderedPageBreak/>
        <w:t>SECTION I</w:t>
      </w:r>
      <w:r w:rsidR="0013539B">
        <w:t xml:space="preserve">I – </w:t>
      </w:r>
      <w:r w:rsidR="007E6DF2">
        <w:t>IMPACT</w:t>
      </w:r>
      <w:bookmarkEnd w:id="4"/>
    </w:p>
    <w:p w:rsidR="007D430B" w:rsidRPr="0075548A" w:rsidRDefault="007E6DF2" w:rsidP="007D430B">
      <w:pPr>
        <w:pStyle w:val="heading1wash"/>
        <w:shd w:val="clear" w:color="auto" w:fill="98FFFC" w:themeFill="accent1" w:themeFillTint="40"/>
      </w:pPr>
      <w:bookmarkStart w:id="5" w:name="_Toc463891926"/>
      <w:r>
        <w:t>WATER</w:t>
      </w:r>
      <w:bookmarkEnd w:id="5"/>
    </w:p>
    <w:p w:rsidR="0024772B" w:rsidRDefault="0024772B" w:rsidP="007C014D">
      <w:pPr>
        <w:pStyle w:val="SubheadingWASH"/>
      </w:pPr>
      <w:bookmarkStart w:id="6" w:name="_Toc463891927"/>
      <w:r>
        <w:t>JMP 1995 – 2015 trend</w:t>
      </w:r>
      <w:bookmarkEnd w:id="6"/>
    </w:p>
    <w:p w:rsidR="0024772B" w:rsidRPr="00C55AB6" w:rsidRDefault="00C55AB6" w:rsidP="00C55AB6">
      <w:pPr>
        <w:jc w:val="center"/>
        <w:rPr>
          <w:b/>
          <w:i/>
        </w:rPr>
      </w:pPr>
      <w:r w:rsidRPr="00C55AB6">
        <w:rPr>
          <w:b/>
          <w:i/>
          <w:highlight w:val="yellow"/>
        </w:rPr>
        <w:t>Insert</w:t>
      </w:r>
    </w:p>
    <w:p w:rsidR="0073660F" w:rsidRDefault="007C014D" w:rsidP="007C014D">
      <w:pPr>
        <w:pStyle w:val="SubheadingWASH"/>
      </w:pPr>
      <w:bookmarkStart w:id="7" w:name="_Toc463891928"/>
      <w:r>
        <w:t>Groundwater Resources</w:t>
      </w:r>
      <w:bookmarkEnd w:id="7"/>
    </w:p>
    <w:p w:rsidR="0024772B" w:rsidRDefault="007C014D" w:rsidP="0073660F">
      <w:r w:rsidRPr="00516CAB">
        <w:rPr>
          <w:noProof/>
          <w:lang w:val="en-US"/>
        </w:rPr>
        <w:drawing>
          <wp:anchor distT="0" distB="0" distL="114300" distR="114300" simplePos="0" relativeHeight="251666432" behindDoc="0" locked="0" layoutInCell="1" allowOverlap="1" wp14:anchorId="7686F274" wp14:editId="321045FA">
            <wp:simplePos x="0" y="0"/>
            <wp:positionH relativeFrom="margin">
              <wp:align>right</wp:align>
            </wp:positionH>
            <wp:positionV relativeFrom="paragraph">
              <wp:posOffset>12700</wp:posOffset>
            </wp:positionV>
            <wp:extent cx="1625600" cy="2120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0" cy="2120900"/>
                    </a:xfrm>
                    <a:prstGeom prst="rect">
                      <a:avLst/>
                    </a:prstGeom>
                    <a:noFill/>
                    <a:ln>
                      <a:noFill/>
                    </a:ln>
                  </pic:spPr>
                </pic:pic>
              </a:graphicData>
            </a:graphic>
          </wp:anchor>
        </w:drawing>
      </w:r>
      <w:r w:rsidR="00E51CFD" w:rsidRPr="00E51CFD">
        <w:rPr>
          <w:noProof/>
          <w:lang w:val="en-US"/>
        </w:rPr>
        <w:drawing>
          <wp:anchor distT="0" distB="0" distL="114300" distR="114300" simplePos="0" relativeHeight="251665408" behindDoc="0" locked="0" layoutInCell="1" allowOverlap="1" wp14:anchorId="355948C9" wp14:editId="3D4A0D01">
            <wp:simplePos x="0" y="0"/>
            <wp:positionH relativeFrom="column">
              <wp:posOffset>0</wp:posOffset>
            </wp:positionH>
            <wp:positionV relativeFrom="paragraph">
              <wp:posOffset>0</wp:posOffset>
            </wp:positionV>
            <wp:extent cx="2082800" cy="2603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2800" cy="2603500"/>
                    </a:xfrm>
                    <a:prstGeom prst="rect">
                      <a:avLst/>
                    </a:prstGeom>
                    <a:noFill/>
                    <a:ln>
                      <a:noFill/>
                    </a:ln>
                  </pic:spPr>
                </pic:pic>
              </a:graphicData>
            </a:graphic>
          </wp:anchor>
        </w:drawing>
      </w:r>
      <w:r w:rsidR="00516CAB" w:rsidRPr="00516CAB">
        <w:t xml:space="preserve"> </w:t>
      </w:r>
      <w:r w:rsidR="0024772B">
        <w:t xml:space="preserve">Long term analysis </w:t>
      </w:r>
      <w:r w:rsidR="00C3398A">
        <w:t xml:space="preserve">is </w:t>
      </w:r>
      <w:r w:rsidR="0024772B">
        <w:t>complicated by</w:t>
      </w:r>
      <w:r>
        <w:t xml:space="preserve"> the</w:t>
      </w:r>
      <w:r w:rsidR="0024772B">
        <w:t xml:space="preserve"> destruction of agricultural wells </w:t>
      </w:r>
      <w:r w:rsidR="00CC6F8D">
        <w:t xml:space="preserve">during military incursions </w:t>
      </w:r>
      <w:r w:rsidR="0024772B">
        <w:t>over the decades</w:t>
      </w:r>
      <w:r w:rsidR="00CC6F8D">
        <w:t xml:space="preserve"> – w</w:t>
      </w:r>
      <w:r w:rsidR="0024772B">
        <w:t>hich are used for groundwater monitoring</w:t>
      </w:r>
      <w:r w:rsidR="00CC6F8D">
        <w:t xml:space="preserve"> – n</w:t>
      </w:r>
      <w:r w:rsidR="0024772B">
        <w:t>onetheless,</w:t>
      </w:r>
      <w:r w:rsidR="00C3398A">
        <w:t xml:space="preserve"> </w:t>
      </w:r>
      <w:r w:rsidR="00CC6F8D">
        <w:t xml:space="preserve">available </w:t>
      </w:r>
      <w:r w:rsidR="00C3398A">
        <w:t xml:space="preserve">trends demonstrate a fluctuating but </w:t>
      </w:r>
      <w:r w:rsidR="00CC6F8D">
        <w:t xml:space="preserve">gradual </w:t>
      </w:r>
      <w:r w:rsidR="00C3398A">
        <w:t>decrease to the north and south of Gaza city, and a steady decline in the north and south in areas where municipal wells are concentrated. Finally, some wells in eastern Khan Yunis show an upward trend, possibly due to upward infiltration from the lower Eocene</w:t>
      </w:r>
      <w:r w:rsidR="00CC6F8D">
        <w:t>.</w:t>
      </w:r>
      <w:r w:rsidR="00C3398A">
        <w:t xml:space="preserve"> </w:t>
      </w:r>
    </w:p>
    <w:p w:rsidR="00C3398A" w:rsidRDefault="007C014D" w:rsidP="0073660F">
      <w:r w:rsidRPr="00516CAB">
        <w:rPr>
          <w:noProof/>
          <w:lang w:val="en-US"/>
        </w:rPr>
        <w:drawing>
          <wp:anchor distT="0" distB="0" distL="114300" distR="114300" simplePos="0" relativeHeight="251667456" behindDoc="0" locked="0" layoutInCell="1" allowOverlap="1" wp14:anchorId="6DA0BA29" wp14:editId="4A12B586">
            <wp:simplePos x="0" y="0"/>
            <wp:positionH relativeFrom="margin">
              <wp:align>right</wp:align>
            </wp:positionH>
            <wp:positionV relativeFrom="paragraph">
              <wp:posOffset>10160</wp:posOffset>
            </wp:positionV>
            <wp:extent cx="1625600" cy="2120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600" cy="2120900"/>
                    </a:xfrm>
                    <a:prstGeom prst="rect">
                      <a:avLst/>
                    </a:prstGeom>
                    <a:noFill/>
                    <a:ln>
                      <a:noFill/>
                    </a:ln>
                  </pic:spPr>
                </pic:pic>
              </a:graphicData>
            </a:graphic>
          </wp:anchor>
        </w:drawing>
      </w:r>
      <w:r w:rsidR="00C3398A">
        <w:t xml:space="preserve">The chloride concentrations highlight salinity levels from seawater intrusion, </w:t>
      </w:r>
      <w:r w:rsidR="00CC6F8D">
        <w:t xml:space="preserve">and trends indicate </w:t>
      </w:r>
      <w:r w:rsidR="00C3398A">
        <w:t>an exponential r</w:t>
      </w:r>
      <w:r>
        <w:t>ate of increase in the west, with</w:t>
      </w:r>
      <w:r w:rsidR="00C3398A">
        <w:t xml:space="preserve"> a steady rate of increase in the center and east</w:t>
      </w:r>
      <w:r w:rsidR="00CC6F8D">
        <w:t xml:space="preserve"> to the current levels. As can be seen, few areas fall within the WHO norm of &lt;250 mg/l. </w:t>
      </w:r>
      <w:r w:rsidR="00CC6F8D" w:rsidRPr="00CC6F8D">
        <w:rPr>
          <w:b/>
          <w:i/>
          <w:highlight w:val="yellow"/>
        </w:rPr>
        <w:t>Implications for crop</w:t>
      </w:r>
      <w:r w:rsidR="00AC6519">
        <w:rPr>
          <w:b/>
          <w:i/>
          <w:highlight w:val="yellow"/>
        </w:rPr>
        <w:t>s – particularly longer-term</w:t>
      </w:r>
    </w:p>
    <w:p w:rsidR="00CC6F8D" w:rsidRDefault="00CC6F8D" w:rsidP="0073660F">
      <w:r>
        <w:t>Nitrate levels over time fluctuate at a steady rate, reflecting infiltration from agricultural activities, and wa</w:t>
      </w:r>
      <w:r w:rsidR="007C014D">
        <w:t>ste-water infiltration</w:t>
      </w:r>
      <w:r>
        <w:t xml:space="preserve"> in urban areas. As with chloride concentrations, few areas fall w</w:t>
      </w:r>
      <w:r w:rsidR="00361FF2">
        <w:t>ithin the WHO norm of &lt;50 mg/l</w:t>
      </w:r>
      <w:r w:rsidR="00DA10D5">
        <w:t>. In fact,</w:t>
      </w:r>
      <w:r w:rsidR="00361FF2">
        <w:t xml:space="preserve"> a GIS-based statistical study by the PWA in 2015 found strong correlations between nitrate levels and </w:t>
      </w:r>
      <w:r w:rsidR="00DA10D5">
        <w:t xml:space="preserve">reported cases of </w:t>
      </w:r>
      <w:r w:rsidR="00361FF2">
        <w:t>parasitic infections and Hepatitis A.</w:t>
      </w:r>
    </w:p>
    <w:p w:rsidR="00DA10D5" w:rsidRDefault="00DA10D5" w:rsidP="00CA6C22">
      <w:pPr>
        <w:rPr>
          <w:b/>
          <w:i/>
          <w:highlight w:val="yellow"/>
        </w:rPr>
      </w:pPr>
      <w:r>
        <w:rPr>
          <w:b/>
          <w:i/>
          <w:highlight w:val="yellow"/>
        </w:rPr>
        <w:t>Implications for health / hygiene particularly longer-term</w:t>
      </w:r>
    </w:p>
    <w:p w:rsidR="00CA6C22" w:rsidRPr="00CA6C22" w:rsidRDefault="00DA10D5" w:rsidP="00CA6C22">
      <w:pPr>
        <w:rPr>
          <w:b/>
          <w:i/>
        </w:rPr>
      </w:pPr>
      <w:r>
        <w:rPr>
          <w:b/>
          <w:i/>
          <w:highlight w:val="yellow"/>
        </w:rPr>
        <w:t>W</w:t>
      </w:r>
      <w:r w:rsidR="00CA6C22" w:rsidRPr="00CA6C22">
        <w:rPr>
          <w:b/>
          <w:i/>
          <w:highlight w:val="yellow"/>
        </w:rPr>
        <w:t>ater quality testing is complicated by a complex institution arrangement, and limited resources / material</w:t>
      </w:r>
      <w:r w:rsidR="006C23F3">
        <w:rPr>
          <w:b/>
          <w:i/>
          <w:highlight w:val="yellow"/>
        </w:rPr>
        <w:t>s……</w:t>
      </w:r>
    </w:p>
    <w:p w:rsidR="00CA6C22" w:rsidRDefault="00CA6C22" w:rsidP="0073660F"/>
    <w:p w:rsidR="00580F79" w:rsidRDefault="00580F79">
      <w:pPr>
        <w:rPr>
          <w:rFonts w:eastAsiaTheme="majorEastAsia" w:cs="Arial"/>
          <w:b/>
          <w:bCs/>
          <w:color w:val="586666" w:themeColor="accent2" w:themeTint="BF"/>
          <w:sz w:val="26"/>
          <w:szCs w:val="26"/>
        </w:rPr>
      </w:pPr>
      <w:r>
        <w:br w:type="page"/>
      </w:r>
    </w:p>
    <w:p w:rsidR="009F1524" w:rsidRDefault="00282AC2" w:rsidP="007C014D">
      <w:pPr>
        <w:pStyle w:val="SubheadingWASH"/>
      </w:pPr>
      <w:bookmarkStart w:id="8" w:name="_Toc463891929"/>
      <w:r>
        <w:rPr>
          <w:noProof/>
          <w:lang w:val="en-US"/>
        </w:rPr>
        <w:lastRenderedPageBreak/>
        <w:drawing>
          <wp:anchor distT="0" distB="0" distL="114300" distR="114300" simplePos="0" relativeHeight="251668480" behindDoc="0" locked="0" layoutInCell="1" allowOverlap="1" wp14:anchorId="585F8AC0" wp14:editId="645ACA21">
            <wp:simplePos x="0" y="0"/>
            <wp:positionH relativeFrom="margin">
              <wp:align>right</wp:align>
            </wp:positionH>
            <wp:positionV relativeFrom="paragraph">
              <wp:posOffset>269240</wp:posOffset>
            </wp:positionV>
            <wp:extent cx="3531235" cy="2030730"/>
            <wp:effectExtent l="0" t="0" r="12065" b="762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7C014D">
        <w:t>Water Production</w:t>
      </w:r>
      <w:bookmarkEnd w:id="8"/>
    </w:p>
    <w:p w:rsidR="008361B5" w:rsidRDefault="00EB23BC" w:rsidP="00580F79">
      <w:pPr>
        <w:ind w:right="6056"/>
      </w:pPr>
      <w:r>
        <w:t>Water production st</w:t>
      </w:r>
      <w:r w:rsidR="007C014D">
        <w:t>atistics from the CMWU capture</w:t>
      </w:r>
      <w:r>
        <w:t xml:space="preserve"> production from municipal and UNRWA wells, in addition to the </w:t>
      </w:r>
      <w:r w:rsidR="00731301">
        <w:t xml:space="preserve">volumes purchased from the Mekerot company. </w:t>
      </w:r>
    </w:p>
    <w:p w:rsidR="00EB23BC" w:rsidRDefault="00731301" w:rsidP="00282AC2">
      <w:pPr>
        <w:ind w:right="26"/>
      </w:pPr>
      <w:r>
        <w:t>While the total volume produced would theoreticall</w:t>
      </w:r>
      <w:r w:rsidR="007E777C">
        <w:t>y achieve the WHO recommended optimum to promote health</w:t>
      </w:r>
      <w:r>
        <w:t xml:space="preserve"> of </w:t>
      </w:r>
      <w:r w:rsidR="008361B5">
        <w:t>&gt;</w:t>
      </w:r>
      <w:r>
        <w:t>100 l/p/d</w:t>
      </w:r>
      <w:r w:rsidR="007E777C">
        <w:t xml:space="preserve"> piped into the dwelling, however</w:t>
      </w:r>
      <w:r>
        <w:t xml:space="preserve">, when factoring in estimated system losses across localities, the theoretical consumption per capita falls significantly short, and masks fluctuations in service, and in geographical and socio-economical variations in access. </w:t>
      </w:r>
    </w:p>
    <w:p w:rsidR="00282AC2" w:rsidRDefault="00282AC2" w:rsidP="00282AC2">
      <w:pPr>
        <w:ind w:right="26"/>
      </w:pPr>
    </w:p>
    <w:p w:rsidR="00282AC2" w:rsidRDefault="00282AC2" w:rsidP="00282AC2">
      <w:pPr>
        <w:pStyle w:val="SubheadingWASH"/>
      </w:pPr>
      <w:bookmarkStart w:id="9" w:name="_Toc463891930"/>
      <w:r>
        <w:t>Water Consumption</w:t>
      </w:r>
      <w:bookmarkEnd w:id="9"/>
    </w:p>
    <w:p w:rsidR="00282AC2" w:rsidRDefault="00282AC2" w:rsidP="00282AC2">
      <w:pPr>
        <w:ind w:right="26"/>
      </w:pPr>
      <w:r>
        <w:rPr>
          <w:noProof/>
          <w:lang w:val="en-US"/>
        </w:rPr>
        <w:drawing>
          <wp:anchor distT="0" distB="0" distL="114300" distR="114300" simplePos="0" relativeHeight="251761664" behindDoc="0" locked="0" layoutInCell="1" allowOverlap="1" wp14:anchorId="2B332BEB" wp14:editId="6528A019">
            <wp:simplePos x="0" y="0"/>
            <wp:positionH relativeFrom="margin">
              <wp:align>right</wp:align>
            </wp:positionH>
            <wp:positionV relativeFrom="paragraph">
              <wp:posOffset>15565</wp:posOffset>
            </wp:positionV>
            <wp:extent cx="3689498" cy="1333500"/>
            <wp:effectExtent l="0" t="0" r="6350" b="0"/>
            <wp:wrapSquare wrapText="bothSides"/>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t xml:space="preserve">HH level surveys conducted by ACF in 2016 clearly illustrate this differential access both within and across Governorates. Deir al Balah would appear to have the worst level of access overall, with over half of HHs consuming less than 60 litres per person per day. </w:t>
      </w:r>
      <w:r w:rsidR="00E3785E">
        <w:t xml:space="preserve">Overall, just over 30% of HHs across the Gaza Strip have the same low level of access. </w:t>
      </w:r>
    </w:p>
    <w:p w:rsidR="005A524E" w:rsidRDefault="005A524E" w:rsidP="0073660F"/>
    <w:p w:rsidR="009F1524" w:rsidRDefault="007E777C" w:rsidP="007E777C">
      <w:pPr>
        <w:pStyle w:val="SubheadingWASH"/>
      </w:pPr>
      <w:bookmarkStart w:id="10" w:name="_Toc463891931"/>
      <w:r>
        <w:t>Frequency of Service</w:t>
      </w:r>
      <w:bookmarkEnd w:id="10"/>
    </w:p>
    <w:p w:rsidR="00F477C4" w:rsidRDefault="00AD5113" w:rsidP="00AD5113">
      <w:pPr>
        <w:ind w:right="5156"/>
      </w:pPr>
      <w:r>
        <w:rPr>
          <w:noProof/>
          <w:lang w:val="en-US"/>
        </w:rPr>
        <w:drawing>
          <wp:anchor distT="0" distB="0" distL="114300" distR="114300" simplePos="0" relativeHeight="251669504" behindDoc="0" locked="0" layoutInCell="1" allowOverlap="1" wp14:anchorId="3C307E8D" wp14:editId="2B73B500">
            <wp:simplePos x="0" y="0"/>
            <wp:positionH relativeFrom="margin">
              <wp:posOffset>3416935</wp:posOffset>
            </wp:positionH>
            <wp:positionV relativeFrom="paragraph">
              <wp:posOffset>13970</wp:posOffset>
            </wp:positionV>
            <wp:extent cx="3225800" cy="1495425"/>
            <wp:effectExtent l="0" t="0" r="12700" b="952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r w:rsidR="0083391F">
        <w:t xml:space="preserve">OCHAs vulnerability profiling </w:t>
      </w:r>
      <w:r w:rsidR="00A32A0C">
        <w:t>(</w:t>
      </w:r>
      <w:r w:rsidR="00731301">
        <w:t>2015</w:t>
      </w:r>
      <w:r w:rsidR="00A32A0C">
        <w:t>)</w:t>
      </w:r>
      <w:r w:rsidR="00731301">
        <w:t>, implemented through key informan</w:t>
      </w:r>
      <w:r w:rsidR="00EF0640">
        <w:t>ts at community level, suggests</w:t>
      </w:r>
      <w:r w:rsidR="00731301">
        <w:t xml:space="preserve"> </w:t>
      </w:r>
      <w:r w:rsidR="00E71BD8">
        <w:t xml:space="preserve">that </w:t>
      </w:r>
      <w:r w:rsidR="005A524E">
        <w:t>most localities do not receive a continuous supply of water, with less frequent se</w:t>
      </w:r>
      <w:r w:rsidR="00F477C4">
        <w:t xml:space="preserve">rvice during the summer months in some Governorates. </w:t>
      </w:r>
    </w:p>
    <w:p w:rsidR="0083391F" w:rsidRDefault="0083391F" w:rsidP="00AD5113">
      <w:pPr>
        <w:ind w:right="5156"/>
        <w:rPr>
          <w:noProof/>
          <w:lang w:val="en-US"/>
        </w:rPr>
      </w:pPr>
      <w:r>
        <w:rPr>
          <w:noProof/>
          <w:lang w:val="en-US"/>
        </w:rPr>
        <w:drawing>
          <wp:anchor distT="0" distB="0" distL="114300" distR="114300" simplePos="0" relativeHeight="251760640" behindDoc="0" locked="0" layoutInCell="1" allowOverlap="1" wp14:anchorId="197A4335" wp14:editId="0270F717">
            <wp:simplePos x="0" y="0"/>
            <wp:positionH relativeFrom="margin">
              <wp:align>right</wp:align>
            </wp:positionH>
            <wp:positionV relativeFrom="paragraph">
              <wp:posOffset>850132</wp:posOffset>
            </wp:positionV>
            <wp:extent cx="3215640" cy="1562100"/>
            <wp:effectExtent l="0" t="0" r="3810" b="0"/>
            <wp:wrapSquare wrapText="bothSides"/>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F477C4">
        <w:t xml:space="preserve">Continuous water supply is a key element of the WHO optimum level for health. </w:t>
      </w:r>
      <w:r>
        <w:t>I</w:t>
      </w:r>
      <w:r w:rsidR="00157ECF">
        <w:rPr>
          <w:noProof/>
          <w:lang w:val="en-US"/>
        </w:rPr>
        <w:t xml:space="preserve">n 2010, </w:t>
      </w:r>
      <w:r w:rsidR="00214219">
        <w:rPr>
          <w:noProof/>
          <w:lang w:val="en-US"/>
        </w:rPr>
        <w:t xml:space="preserve">the PHG-UNICEF household survey found that </w:t>
      </w:r>
      <w:r w:rsidR="00157ECF">
        <w:rPr>
          <w:noProof/>
          <w:lang w:val="en-US"/>
        </w:rPr>
        <w:t xml:space="preserve">48.8% of HHs receive water 4 – 7 days a week, with a further 40.5% receiving water 1 – 3 days </w:t>
      </w:r>
      <w:r w:rsidR="00E71BD8">
        <w:rPr>
          <w:noProof/>
          <w:lang w:val="en-US"/>
        </w:rPr>
        <w:t>a week, and a final 10.4% of HHs</w:t>
      </w:r>
      <w:r w:rsidR="00157ECF">
        <w:rPr>
          <w:noProof/>
          <w:lang w:val="en-US"/>
        </w:rPr>
        <w:t xml:space="preserve"> connected to the network but receiving water le</w:t>
      </w:r>
      <w:r w:rsidR="00AD5113">
        <w:rPr>
          <w:noProof/>
          <w:lang w:val="en-US"/>
        </w:rPr>
        <w:t>ss than once a week</w:t>
      </w:r>
      <w:r>
        <w:rPr>
          <w:noProof/>
          <w:lang w:val="en-US"/>
        </w:rPr>
        <w:t>.</w:t>
      </w:r>
      <w:r w:rsidR="00AD5113">
        <w:rPr>
          <w:noProof/>
          <w:lang w:val="en-US"/>
        </w:rPr>
        <w:t xml:space="preserve"> </w:t>
      </w:r>
    </w:p>
    <w:p w:rsidR="006460AB" w:rsidRDefault="00214219" w:rsidP="00AD5113">
      <w:pPr>
        <w:ind w:right="5156"/>
        <w:rPr>
          <w:noProof/>
          <w:lang w:val="en-US"/>
        </w:rPr>
      </w:pPr>
      <w:r>
        <w:rPr>
          <w:noProof/>
          <w:lang w:val="en-US"/>
        </w:rPr>
        <w:t xml:space="preserve">More recent household surveys do not have information on frequency of service, </w:t>
      </w:r>
      <w:r w:rsidR="0083391F">
        <w:rPr>
          <w:noProof/>
          <w:lang w:val="en-US"/>
        </w:rPr>
        <w:t>nevertheless, the situation inside Gaza remains similar to 2010, as indicate</w:t>
      </w:r>
      <w:r w:rsidR="00154066">
        <w:rPr>
          <w:noProof/>
          <w:lang w:val="en-US"/>
        </w:rPr>
        <w:t>d</w:t>
      </w:r>
      <w:r w:rsidR="0083391F">
        <w:rPr>
          <w:noProof/>
          <w:lang w:val="en-US"/>
        </w:rPr>
        <w:t xml:space="preserve"> by the PCBS household environ</w:t>
      </w:r>
      <w:r w:rsidR="00154066">
        <w:rPr>
          <w:noProof/>
          <w:lang w:val="en-US"/>
        </w:rPr>
        <w:t>ment study</w:t>
      </w:r>
      <w:r w:rsidR="0083391F">
        <w:rPr>
          <w:noProof/>
          <w:lang w:val="en-US"/>
        </w:rPr>
        <w:t xml:space="preserve"> </w:t>
      </w:r>
      <w:r w:rsidR="00154066">
        <w:rPr>
          <w:noProof/>
          <w:lang w:val="en-US"/>
        </w:rPr>
        <w:t>(</w:t>
      </w:r>
      <w:r w:rsidR="0083391F">
        <w:rPr>
          <w:noProof/>
          <w:lang w:val="en-US"/>
        </w:rPr>
        <w:t>2014</w:t>
      </w:r>
      <w:r w:rsidR="00154066">
        <w:rPr>
          <w:noProof/>
          <w:lang w:val="en-US"/>
        </w:rPr>
        <w:t>)</w:t>
      </w:r>
      <w:r w:rsidR="0083391F">
        <w:rPr>
          <w:noProof/>
          <w:lang w:val="en-US"/>
        </w:rPr>
        <w:t>, which found 18% receive water twice a week or less, and just over 5</w:t>
      </w:r>
      <w:r w:rsidR="00154066">
        <w:rPr>
          <w:noProof/>
          <w:lang w:val="en-US"/>
        </w:rPr>
        <w:t xml:space="preserve">1% receive water 3-4 times a week. </w:t>
      </w:r>
      <w:r w:rsidR="0083391F">
        <w:rPr>
          <w:noProof/>
          <w:lang w:val="en-US"/>
        </w:rPr>
        <w:t xml:space="preserve"> </w:t>
      </w:r>
    </w:p>
    <w:p w:rsidR="00FC160C" w:rsidRDefault="00FC160C" w:rsidP="00B0551A">
      <w:pPr>
        <w:pStyle w:val="SubheadingWASH"/>
      </w:pPr>
      <w:bookmarkStart w:id="11" w:name="_Toc463891932"/>
      <w:r>
        <w:lastRenderedPageBreak/>
        <w:t>Domestic Water Storage</w:t>
      </w:r>
      <w:bookmarkEnd w:id="11"/>
    </w:p>
    <w:p w:rsidR="004A6FAB" w:rsidRDefault="00861D5A" w:rsidP="00FC160C">
      <w:pPr>
        <w:rPr>
          <w:noProof/>
          <w:lang w:val="en-US"/>
        </w:rPr>
      </w:pPr>
      <w:r>
        <w:rPr>
          <w:noProof/>
          <w:lang w:val="en-US"/>
        </w:rPr>
        <w:drawing>
          <wp:anchor distT="0" distB="0" distL="114300" distR="114300" simplePos="0" relativeHeight="251762688" behindDoc="0" locked="0" layoutInCell="1" allowOverlap="1" wp14:anchorId="0F6D32B2" wp14:editId="6B3E9FF1">
            <wp:simplePos x="0" y="0"/>
            <wp:positionH relativeFrom="margin">
              <wp:align>right</wp:align>
            </wp:positionH>
            <wp:positionV relativeFrom="paragraph">
              <wp:posOffset>13439</wp:posOffset>
            </wp:positionV>
            <wp:extent cx="3997325" cy="1333500"/>
            <wp:effectExtent l="0" t="0" r="3175" b="0"/>
            <wp:wrapSquare wrapText="bothSides"/>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anchor>
        </w:drawing>
      </w:r>
      <w:r w:rsidR="00120DBF">
        <w:t xml:space="preserve">Given irregular </w:t>
      </w:r>
      <w:r w:rsidR="00154066">
        <w:t xml:space="preserve">water </w:t>
      </w:r>
      <w:r w:rsidR="00120DBF">
        <w:t xml:space="preserve">supply for most households in the Gaza strip, household level storage tanks become essential to ensure a degree of continuity in household supply. </w:t>
      </w:r>
      <w:r w:rsidR="006460AB">
        <w:t xml:space="preserve">Critically, many households require both water supply and </w:t>
      </w:r>
      <w:r w:rsidR="006460AB" w:rsidRPr="00120DBF">
        <w:rPr>
          <w:i/>
        </w:rPr>
        <w:t>simultaneous</w:t>
      </w:r>
      <w:r w:rsidR="006460AB">
        <w:t xml:space="preserve"> electricity supply to be able to fill elevated storage tanks, where ground-level tanks are not in place</w:t>
      </w:r>
      <w:r w:rsidR="00120DBF">
        <w:t>.</w:t>
      </w:r>
      <w:r w:rsidR="00145B3E" w:rsidRPr="00145B3E">
        <w:rPr>
          <w:noProof/>
          <w:lang w:val="en-US"/>
        </w:rPr>
        <w:t xml:space="preserve"> </w:t>
      </w:r>
    </w:p>
    <w:p w:rsidR="006460AB" w:rsidRDefault="004A6FAB" w:rsidP="00FC160C">
      <w:pPr>
        <w:rPr>
          <w:noProof/>
          <w:lang w:val="en-US"/>
        </w:rPr>
      </w:pPr>
      <w:r>
        <w:rPr>
          <w:noProof/>
          <w:lang w:val="en-US"/>
        </w:rPr>
        <w:t xml:space="preserve">Domestic water storage availability is widespread: the ACF household survey (2016) found an average of 5% of households lacking domestic water storage; and the OCHA IDP profiling (2015) found an average of 7% of IDP households lacking domestic water storage – though it should also be noted that 65% of IDP households considered the water storage available to be insufficient for their needs. </w:t>
      </w:r>
    </w:p>
    <w:p w:rsidR="004A6FAB" w:rsidRDefault="004A6FAB" w:rsidP="00FC160C">
      <w:pPr>
        <w:rPr>
          <w:noProof/>
          <w:lang w:val="en-US"/>
        </w:rPr>
      </w:pPr>
      <w:r>
        <w:rPr>
          <w:noProof/>
          <w:lang w:val="en-US"/>
        </w:rPr>
        <w:drawing>
          <wp:inline distT="0" distB="0" distL="0" distR="0" wp14:anchorId="4AD27B5C" wp14:editId="07D360E0">
            <wp:extent cx="3263900" cy="1771015"/>
            <wp:effectExtent l="0" t="0" r="12700" b="63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4A6FAB">
        <w:rPr>
          <w:noProof/>
          <w:lang w:val="en-US"/>
        </w:rPr>
        <w:t xml:space="preserve"> </w:t>
      </w:r>
      <w:r>
        <w:rPr>
          <w:noProof/>
          <w:lang w:val="en-US"/>
        </w:rPr>
        <w:drawing>
          <wp:inline distT="0" distB="0" distL="0" distR="0" wp14:anchorId="6FB30818" wp14:editId="424A6D97">
            <wp:extent cx="3327400" cy="1764030"/>
            <wp:effectExtent l="0" t="0" r="6350" b="762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1454F" w:rsidRPr="00A14DA1" w:rsidRDefault="00A14DA1" w:rsidP="004B230E">
      <w:pPr>
        <w:ind w:right="6146"/>
        <w:rPr>
          <w:noProof/>
          <w:lang w:val="en-US"/>
        </w:rPr>
      </w:pPr>
      <w:r>
        <w:rPr>
          <w:noProof/>
          <w:lang w:val="en-US"/>
        </w:rPr>
        <w:drawing>
          <wp:anchor distT="0" distB="0" distL="114300" distR="114300" simplePos="0" relativeHeight="251765760" behindDoc="0" locked="0" layoutInCell="1" allowOverlap="1" wp14:anchorId="40D25F87" wp14:editId="61A79854">
            <wp:simplePos x="0" y="0"/>
            <wp:positionH relativeFrom="margin">
              <wp:posOffset>3121660</wp:posOffset>
            </wp:positionH>
            <wp:positionV relativeFrom="paragraph">
              <wp:posOffset>1591310</wp:posOffset>
            </wp:positionV>
            <wp:extent cx="3514725" cy="1228725"/>
            <wp:effectExtent l="0" t="0" r="9525" b="9525"/>
            <wp:wrapSquare wrapText="bothSides"/>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64736" behindDoc="0" locked="0" layoutInCell="1" allowOverlap="1" wp14:anchorId="495877F3" wp14:editId="61FE8CD4">
            <wp:simplePos x="0" y="0"/>
            <wp:positionH relativeFrom="margin">
              <wp:posOffset>0</wp:posOffset>
            </wp:positionH>
            <wp:positionV relativeFrom="paragraph">
              <wp:posOffset>1591472</wp:posOffset>
            </wp:positionV>
            <wp:extent cx="3508375" cy="1228725"/>
            <wp:effectExtent l="0" t="0" r="15875" b="9525"/>
            <wp:wrapSquare wrapText="bothSides"/>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4B230E">
        <w:rPr>
          <w:noProof/>
          <w:lang w:val="en-US"/>
        </w:rPr>
        <w:drawing>
          <wp:anchor distT="0" distB="0" distL="114300" distR="114300" simplePos="0" relativeHeight="251684864" behindDoc="0" locked="0" layoutInCell="1" allowOverlap="1" wp14:anchorId="31F1C8FB" wp14:editId="23B81223">
            <wp:simplePos x="0" y="0"/>
            <wp:positionH relativeFrom="margin">
              <wp:align>right</wp:align>
            </wp:positionH>
            <wp:positionV relativeFrom="paragraph">
              <wp:posOffset>15609</wp:posOffset>
            </wp:positionV>
            <wp:extent cx="3886200" cy="1238250"/>
            <wp:effectExtent l="0" t="0" r="0" b="0"/>
            <wp:wrapSquare wrapText="bothSides"/>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4A6FAB">
        <w:rPr>
          <w:noProof/>
          <w:lang w:val="en-US"/>
        </w:rPr>
        <w:t xml:space="preserve">Indeed, while one might expect to see an inverse correlation between water frequency and storage (i.e. the more infrequent, the higher the storage), the GVC-PHG-UNICEF household survey </w:t>
      </w:r>
      <w:r w:rsidR="00214219">
        <w:rPr>
          <w:noProof/>
          <w:lang w:val="en-US"/>
        </w:rPr>
        <w:t xml:space="preserve">(2015) </w:t>
      </w:r>
      <w:r w:rsidR="004A6FAB">
        <w:rPr>
          <w:noProof/>
          <w:lang w:val="en-US"/>
        </w:rPr>
        <w:t xml:space="preserve">suggests that domestic water storage volume is influenced </w:t>
      </w:r>
      <w:r w:rsidR="00972741">
        <w:rPr>
          <w:noProof/>
          <w:lang w:val="en-US"/>
        </w:rPr>
        <w:t>by household income quintile,</w:t>
      </w:r>
      <w:r w:rsidR="004A6FAB">
        <w:rPr>
          <w:noProof/>
          <w:lang w:val="en-US"/>
        </w:rPr>
        <w:t xml:space="preserve"> </w:t>
      </w:r>
      <w:r w:rsidR="00042AFF">
        <w:rPr>
          <w:noProof/>
          <w:lang w:val="en-US"/>
        </w:rPr>
        <w:t xml:space="preserve">HH </w:t>
      </w:r>
      <w:r w:rsidR="004A6FAB">
        <w:rPr>
          <w:noProof/>
          <w:lang w:val="en-US"/>
        </w:rPr>
        <w:t>type,</w:t>
      </w:r>
      <w:r w:rsidR="00972741">
        <w:rPr>
          <w:noProof/>
          <w:lang w:val="en-US"/>
        </w:rPr>
        <w:t xml:space="preserve"> and the gender of the head of household,</w:t>
      </w:r>
      <w:r w:rsidR="004A6FAB">
        <w:rPr>
          <w:noProof/>
          <w:lang w:val="en-US"/>
        </w:rPr>
        <w:t xml:space="preserve"> as </w:t>
      </w:r>
      <w:r>
        <w:rPr>
          <w:noProof/>
          <w:lang w:val="en-US"/>
        </w:rPr>
        <w:t xml:space="preserve">indicated in the graphs below. </w:t>
      </w:r>
    </w:p>
    <w:p w:rsidR="009F1524" w:rsidRDefault="0071454F" w:rsidP="0073660F">
      <w:r>
        <w:t xml:space="preserve"> </w:t>
      </w:r>
    </w:p>
    <w:p w:rsidR="00E1692F" w:rsidRDefault="00E1692F" w:rsidP="00E1692F">
      <w:pPr>
        <w:pStyle w:val="SubheadingWASH"/>
      </w:pPr>
      <w:bookmarkStart w:id="12" w:name="_Toc463891933"/>
      <w:r>
        <w:lastRenderedPageBreak/>
        <w:t>Coping Strategies</w:t>
      </w:r>
      <w:bookmarkEnd w:id="12"/>
    </w:p>
    <w:p w:rsidR="00E1692F" w:rsidRDefault="00E1692F" w:rsidP="00E1692F">
      <w:r>
        <w:rPr>
          <w:noProof/>
          <w:lang w:val="en-US"/>
        </w:rPr>
        <w:drawing>
          <wp:anchor distT="0" distB="0" distL="114300" distR="114300" simplePos="0" relativeHeight="251742208" behindDoc="0" locked="0" layoutInCell="1" allowOverlap="1" wp14:anchorId="5A215239" wp14:editId="4B5C4673">
            <wp:simplePos x="0" y="0"/>
            <wp:positionH relativeFrom="margin">
              <wp:align>right</wp:align>
            </wp:positionH>
            <wp:positionV relativeFrom="paragraph">
              <wp:posOffset>19998</wp:posOffset>
            </wp:positionV>
            <wp:extent cx="4572000" cy="2163536"/>
            <wp:effectExtent l="0" t="0" r="0" b="8255"/>
            <wp:wrapSquare wrapText="bothSides"/>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t xml:space="preserve">Coping strategies for domestic water typically involve the reduction of consumption, followed by increasing storage capacity, purchasing drinking water for domestic use, or doing nothing, with a small proportion implementing other measures. </w:t>
      </w:r>
    </w:p>
    <w:p w:rsidR="00E1692F" w:rsidRDefault="00E1692F" w:rsidP="00E1692F">
      <w:r>
        <w:t xml:space="preserve">Although minor variations occur across other factors, across the income quintiles, </w:t>
      </w:r>
      <w:r w:rsidR="004353F3">
        <w:t>the ability to increase</w:t>
      </w:r>
      <w:r>
        <w:t xml:space="preserve"> storage capacity is </w:t>
      </w:r>
      <w:r w:rsidR="004353F3">
        <w:t>understandably higher</w:t>
      </w:r>
      <w:r>
        <w:t xml:space="preserve"> in the ri</w:t>
      </w:r>
      <w:r w:rsidR="004353F3">
        <w:t>cher</w:t>
      </w:r>
      <w:r>
        <w:t xml:space="preserve"> quintile</w:t>
      </w:r>
      <w:r w:rsidR="004353F3">
        <w:t>s</w:t>
      </w:r>
      <w:r w:rsidR="00154066">
        <w:t xml:space="preserve">, while the largest proportion with no coping strategy available is found in the lowest quintile. </w:t>
      </w:r>
    </w:p>
    <w:p w:rsidR="00E1692F" w:rsidRDefault="00E1692F" w:rsidP="0073660F"/>
    <w:p w:rsidR="00580F79" w:rsidRDefault="00580F79">
      <w:pPr>
        <w:rPr>
          <w:rFonts w:eastAsiaTheme="majorEastAsia" w:cs="Arial"/>
          <w:b/>
          <w:bCs/>
          <w:color w:val="586666" w:themeColor="accent2" w:themeTint="BF"/>
          <w:sz w:val="26"/>
          <w:szCs w:val="26"/>
        </w:rPr>
      </w:pPr>
      <w:r>
        <w:br w:type="page"/>
      </w:r>
    </w:p>
    <w:p w:rsidR="006F2D72" w:rsidRDefault="00C45D5F" w:rsidP="00B0551A">
      <w:pPr>
        <w:pStyle w:val="SubheadingWASH"/>
      </w:pPr>
      <w:bookmarkStart w:id="13" w:name="_Toc463891934"/>
      <w:r>
        <w:rPr>
          <w:noProof/>
          <w:lang w:val="en-US"/>
        </w:rPr>
        <w:lastRenderedPageBreak/>
        <w:drawing>
          <wp:anchor distT="0" distB="0" distL="114300" distR="114300" simplePos="0" relativeHeight="251739136" behindDoc="0" locked="0" layoutInCell="1" allowOverlap="1" wp14:anchorId="795B7D85" wp14:editId="45EB40F7">
            <wp:simplePos x="0" y="0"/>
            <wp:positionH relativeFrom="margin">
              <wp:posOffset>3369310</wp:posOffset>
            </wp:positionH>
            <wp:positionV relativeFrom="paragraph">
              <wp:posOffset>236855</wp:posOffset>
            </wp:positionV>
            <wp:extent cx="3275965" cy="1934845"/>
            <wp:effectExtent l="0" t="0" r="635" b="8255"/>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63712" behindDoc="0" locked="0" layoutInCell="1" allowOverlap="1" wp14:anchorId="73358079" wp14:editId="668E8AC8">
            <wp:simplePos x="0" y="0"/>
            <wp:positionH relativeFrom="margin">
              <wp:posOffset>0</wp:posOffset>
            </wp:positionH>
            <wp:positionV relativeFrom="paragraph">
              <wp:posOffset>237017</wp:posOffset>
            </wp:positionV>
            <wp:extent cx="3338195" cy="1934845"/>
            <wp:effectExtent l="0" t="0" r="14605" b="8255"/>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495759">
        <w:t>Drinking W</w:t>
      </w:r>
      <w:r w:rsidR="006F2D72">
        <w:t>ater Source</w:t>
      </w:r>
      <w:bookmarkEnd w:id="13"/>
    </w:p>
    <w:p w:rsidR="008A4C44" w:rsidRDefault="00481705" w:rsidP="0073660F">
      <w:pPr>
        <w:rPr>
          <w:b/>
          <w:i/>
        </w:rPr>
      </w:pPr>
      <w:r>
        <w:t xml:space="preserve">As the quality of </w:t>
      </w:r>
      <w:r w:rsidR="00AF3C3A">
        <w:t>ground</w:t>
      </w:r>
      <w:r>
        <w:t>water decreased, a number of smaller-scale desalination plants have been constructed, in addition to a growing number of private producers</w:t>
      </w:r>
      <w:r w:rsidR="004003B6">
        <w:t>, both licenses and unlicensed</w:t>
      </w:r>
      <w:r>
        <w:t>. Desalinated water is a key aspect of the PWA strategy in the Gaza Strip, with ongoing work on</w:t>
      </w:r>
      <w:r w:rsidR="00C45D5F">
        <w:t xml:space="preserve"> a larger-scale plant</w:t>
      </w:r>
      <w:r>
        <w:t xml:space="preserve">. </w:t>
      </w:r>
      <w:r w:rsidR="00C45D5F">
        <w:t>While, t</w:t>
      </w:r>
      <w:r w:rsidR="00610993">
        <w:t xml:space="preserve">he </w:t>
      </w:r>
      <w:r w:rsidR="00C45D5F">
        <w:t>GVC and OCHA studies indicate</w:t>
      </w:r>
      <w:r w:rsidR="00610993">
        <w:t xml:space="preserve"> variations in drinking water sources</w:t>
      </w:r>
      <w:r w:rsidR="00053E39">
        <w:t xml:space="preserve"> across Gove</w:t>
      </w:r>
      <w:r w:rsidR="00C45D5F">
        <w:t xml:space="preserve">rnorates, it is clear that </w:t>
      </w:r>
      <w:r>
        <w:t xml:space="preserve">the overall majority </w:t>
      </w:r>
      <w:r w:rsidR="004003B6">
        <w:t xml:space="preserve">(≈95%) </w:t>
      </w:r>
      <w:r w:rsidR="00610993">
        <w:t xml:space="preserve">rely on desalinated water from </w:t>
      </w:r>
      <w:r w:rsidR="004003B6">
        <w:t xml:space="preserve">either </w:t>
      </w:r>
      <w:r w:rsidR="00610993">
        <w:t>tankers or filling</w:t>
      </w:r>
      <w:r w:rsidR="004003B6">
        <w:t xml:space="preserve"> points, a fi</w:t>
      </w:r>
      <w:r w:rsidR="00F4222E">
        <w:t xml:space="preserve">nding supported by </w:t>
      </w:r>
      <w:r w:rsidR="004003B6">
        <w:t>the PCBS (2014)</w:t>
      </w:r>
      <w:r w:rsidR="00F4222E">
        <w:t>, OCHA profiling (2015)</w:t>
      </w:r>
      <w:r w:rsidR="00C45D5F">
        <w:t>, GVC HH survey (2015)</w:t>
      </w:r>
      <w:r w:rsidR="004003B6">
        <w:t xml:space="preserve"> and the ACF HH survey (2016). </w:t>
      </w:r>
    </w:p>
    <w:p w:rsidR="008A4C44" w:rsidRDefault="00F4222E" w:rsidP="00CC3BFC">
      <w:pPr>
        <w:ind w:right="26"/>
        <w:rPr>
          <w:noProof/>
          <w:lang w:val="en-US"/>
        </w:rPr>
      </w:pPr>
      <w:r>
        <w:rPr>
          <w:noProof/>
          <w:lang w:val="en-US"/>
        </w:rPr>
        <w:drawing>
          <wp:anchor distT="0" distB="0" distL="114300" distR="114300" simplePos="0" relativeHeight="251737088" behindDoc="0" locked="0" layoutInCell="1" allowOverlap="1" wp14:anchorId="35EDE011" wp14:editId="01B9BE27">
            <wp:simplePos x="0" y="0"/>
            <wp:positionH relativeFrom="margin">
              <wp:align>right</wp:align>
            </wp:positionH>
            <wp:positionV relativeFrom="paragraph">
              <wp:posOffset>10455</wp:posOffset>
            </wp:positionV>
            <wp:extent cx="4667250" cy="1405255"/>
            <wp:effectExtent l="0" t="0" r="0" b="4445"/>
            <wp:wrapSquare wrapText="bothSides"/>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Pr>
          <w:noProof/>
        </w:rPr>
        <w:t>Ac</w:t>
      </w:r>
      <w:r w:rsidR="00053E39">
        <w:rPr>
          <w:noProof/>
          <w:lang w:val="en-US"/>
        </w:rPr>
        <w:t>cross HH types, WASH-underserved areas</w:t>
      </w:r>
      <w:r>
        <w:rPr>
          <w:noProof/>
          <w:lang w:val="en-US"/>
        </w:rPr>
        <w:t xml:space="preserve"> (GVC, 2015) and IDP households (OCHA, 2015) </w:t>
      </w:r>
      <w:r w:rsidR="004003B6">
        <w:rPr>
          <w:noProof/>
          <w:lang w:val="en-US"/>
        </w:rPr>
        <w:t>appear to rely more on p</w:t>
      </w:r>
      <w:r w:rsidR="00053E39">
        <w:rPr>
          <w:noProof/>
          <w:lang w:val="en-US"/>
        </w:rPr>
        <w:t xml:space="preserve">ublic </w:t>
      </w:r>
      <w:r w:rsidR="000030FD">
        <w:rPr>
          <w:noProof/>
          <w:lang w:val="en-US"/>
        </w:rPr>
        <w:t>filling points</w:t>
      </w:r>
      <w:r w:rsidR="004003B6">
        <w:rPr>
          <w:noProof/>
          <w:lang w:val="en-US"/>
        </w:rPr>
        <w:t xml:space="preserve"> than other groups,</w:t>
      </w:r>
      <w:r>
        <w:rPr>
          <w:noProof/>
          <w:lang w:val="en-US"/>
        </w:rPr>
        <w:t xml:space="preserve"> with findings of 16% and</w:t>
      </w:r>
      <w:r w:rsidR="004003B6">
        <w:rPr>
          <w:noProof/>
          <w:lang w:val="en-US"/>
        </w:rPr>
        <w:t xml:space="preserve"> 18% </w:t>
      </w:r>
      <w:r>
        <w:rPr>
          <w:noProof/>
          <w:lang w:val="en-US"/>
        </w:rPr>
        <w:t xml:space="preserve">respectively. Furthermore, </w:t>
      </w:r>
      <w:r w:rsidR="004003B6">
        <w:rPr>
          <w:noProof/>
          <w:lang w:val="en-US"/>
        </w:rPr>
        <w:t xml:space="preserve">Across locality types, rural areas and camps appear to rely more heavily on public filling points than urban areas, </w:t>
      </w:r>
      <w:r w:rsidR="004003B6" w:rsidRPr="004003B6">
        <w:rPr>
          <w:noProof/>
          <w:highlight w:val="yellow"/>
          <w:lang w:val="en-US"/>
        </w:rPr>
        <w:t>reflecting …..</w:t>
      </w:r>
      <w:r w:rsidR="00411042">
        <w:rPr>
          <w:noProof/>
          <w:lang w:val="en-US"/>
        </w:rPr>
        <w:t xml:space="preserve"> </w:t>
      </w:r>
    </w:p>
    <w:p w:rsidR="00053E39" w:rsidRDefault="00356972" w:rsidP="00C45D5F">
      <w:r>
        <w:rPr>
          <w:noProof/>
          <w:lang w:val="en-US"/>
        </w:rPr>
        <w:drawing>
          <wp:anchor distT="0" distB="0" distL="114300" distR="114300" simplePos="0" relativeHeight="251738112" behindDoc="0" locked="0" layoutInCell="1" allowOverlap="1" wp14:anchorId="7DC75C88" wp14:editId="6435CF41">
            <wp:simplePos x="0" y="0"/>
            <wp:positionH relativeFrom="margin">
              <wp:posOffset>1900245</wp:posOffset>
            </wp:positionH>
            <wp:positionV relativeFrom="paragraph">
              <wp:posOffset>10190</wp:posOffset>
            </wp:positionV>
            <wp:extent cx="4711700" cy="1405255"/>
            <wp:effectExtent l="0" t="0" r="12700" b="4445"/>
            <wp:wrapSquare wrapText="bothSides"/>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In addition, income quintile also plays a role</w:t>
      </w:r>
      <w:r w:rsidR="00411042">
        <w:t xml:space="preserve"> – with a corresponding trend in HH drinking water storage (see next section)</w:t>
      </w:r>
      <w:r>
        <w:t xml:space="preserve"> – with the ric</w:t>
      </w:r>
      <w:r w:rsidR="00F27D10">
        <w:t xml:space="preserve">hest quintile </w:t>
      </w:r>
      <w:r>
        <w:t>accessing the g</w:t>
      </w:r>
      <w:r w:rsidR="00F27D10">
        <w:t xml:space="preserve">reatest </w:t>
      </w:r>
      <w:r>
        <w:t>variety in sources</w:t>
      </w:r>
      <w:r w:rsidR="00F27D10">
        <w:t xml:space="preserve">, and 88% of the top two quintiles </w:t>
      </w:r>
      <w:r>
        <w:t xml:space="preserve">using </w:t>
      </w:r>
      <w:r w:rsidR="00F27D10">
        <w:t xml:space="preserve">tankered water as a drinking water source. </w:t>
      </w:r>
    </w:p>
    <w:p w:rsidR="009F1524" w:rsidRDefault="00B0551A" w:rsidP="00B0551A">
      <w:pPr>
        <w:pStyle w:val="SubheadingWASH"/>
      </w:pPr>
      <w:bookmarkStart w:id="14" w:name="_Toc463891935"/>
      <w:r>
        <w:lastRenderedPageBreak/>
        <w:t>Private producer quality</w:t>
      </w:r>
      <w:bookmarkEnd w:id="14"/>
    </w:p>
    <w:p w:rsidR="001D00B3" w:rsidRDefault="00475193" w:rsidP="0073660F">
      <w:r>
        <w:rPr>
          <w:noProof/>
          <w:lang w:val="en-US"/>
        </w:rPr>
        <w:drawing>
          <wp:anchor distT="0" distB="0" distL="114300" distR="114300" simplePos="0" relativeHeight="251671552" behindDoc="0" locked="0" layoutInCell="1" allowOverlap="1" wp14:anchorId="39334F49" wp14:editId="00756F47">
            <wp:simplePos x="0" y="0"/>
            <wp:positionH relativeFrom="margin">
              <wp:align>right</wp:align>
            </wp:positionH>
            <wp:positionV relativeFrom="paragraph">
              <wp:posOffset>33020</wp:posOffset>
            </wp:positionV>
            <wp:extent cx="2472537" cy="2209191"/>
            <wp:effectExtent l="0" t="0" r="4445" b="635"/>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DB692B">
        <w:t xml:space="preserve">Tankered drinking water has been a feature of Gaza life for some years and represents the main source of drinking water. Indeed, the UNICEF-PHG HH Survey (2010), and the UNICEF MICS (2010) found an average of 82.7% and 84.7% respectively of HHs primarily obtained drinking water from water tankers and private vendors. </w:t>
      </w:r>
      <w:r w:rsidR="001D00B3">
        <w:t xml:space="preserve">Nonetheless, regulation of the private water production sector has been limited, and a </w:t>
      </w:r>
      <w:r w:rsidR="00DB692B">
        <w:t xml:space="preserve">series of studies over the years have drawn attention to the quality of </w:t>
      </w:r>
      <w:r>
        <w:t>drinking water supplied</w:t>
      </w:r>
      <w:r w:rsidR="001D00B3">
        <w:t>.</w:t>
      </w:r>
    </w:p>
    <w:p w:rsidR="001D00B3" w:rsidRDefault="001D00B3" w:rsidP="0073660F">
      <w:r>
        <w:t xml:space="preserve">In 2015, two interconnected studies were conducted – a PWA study sought to explore the capacities of public and private water producers both licensed and unlicensed at the production site, and an NRC facilitated study </w:t>
      </w:r>
      <w:r w:rsidR="00475193">
        <w:t xml:space="preserve">sampled 95 separate water chains across the Governorates. </w:t>
      </w:r>
      <w:r>
        <w:t>C</w:t>
      </w:r>
      <w:r w:rsidR="00D4660D">
        <w:t xml:space="preserve">oliforms </w:t>
      </w:r>
      <w:r w:rsidR="0018465A">
        <w:t xml:space="preserve">were found </w:t>
      </w:r>
      <w:r w:rsidR="00D4660D">
        <w:t xml:space="preserve">in 68% of </w:t>
      </w:r>
      <w:r w:rsidR="00475193">
        <w:t xml:space="preserve">HH </w:t>
      </w:r>
      <w:r w:rsidR="00D4660D">
        <w:t>drinking water storage tanks</w:t>
      </w:r>
      <w:r w:rsidR="00475193">
        <w:t xml:space="preserve">, and that contamination was </w:t>
      </w:r>
      <w:r w:rsidR="00D4660D">
        <w:t>attributed to different stages of the trucked drinking water supply chain</w:t>
      </w:r>
      <w:r w:rsidR="00475193">
        <w:t xml:space="preserve"> as outlined in the graph. </w:t>
      </w:r>
    </w:p>
    <w:p w:rsidR="00D4660D" w:rsidRDefault="00475193" w:rsidP="0073660F">
      <w:r>
        <w:t xml:space="preserve">The findings would appear to </w:t>
      </w:r>
      <w:r w:rsidR="00E60E22">
        <w:t xml:space="preserve">suggest that nearly </w:t>
      </w:r>
      <w:r w:rsidR="00AF3C3A">
        <w:t>60%</w:t>
      </w:r>
      <w:r w:rsidR="00E60E22">
        <w:t xml:space="preserve"> of the population drink </w:t>
      </w:r>
      <w:r w:rsidR="00042AFF">
        <w:t>potentially contaminated water</w:t>
      </w:r>
      <w:r w:rsidR="00485A5F">
        <w:t>, nonetheless 92% consider such water to be safe for consumption</w:t>
      </w:r>
      <w:r w:rsidR="00042AFF">
        <w:t>. While these is scope to improve and regulate safe water production and chlorination, a frequently cited obstacle to chlorination (where this does not occur) is an apparent dislike for the taste amongst their clients</w:t>
      </w:r>
      <w:r w:rsidR="00485A5F">
        <w:t>, and a general lack of awareness of the importance of chlorination for disinfection and the prevention of contamination.</w:t>
      </w:r>
      <w:r w:rsidR="00042AFF">
        <w:t xml:space="preserve"> </w:t>
      </w:r>
    </w:p>
    <w:p w:rsidR="00A14DA1" w:rsidRDefault="00A14DA1">
      <w:pPr>
        <w:rPr>
          <w:rFonts w:eastAsiaTheme="majorEastAsia" w:cs="Arial"/>
          <w:b/>
          <w:bCs/>
          <w:color w:val="586666" w:themeColor="accent2" w:themeTint="BF"/>
          <w:sz w:val="26"/>
          <w:szCs w:val="26"/>
        </w:rPr>
      </w:pPr>
      <w:bookmarkStart w:id="15" w:name="_Toc463891936"/>
      <w:r>
        <w:br w:type="page"/>
      </w:r>
    </w:p>
    <w:p w:rsidR="0024772B" w:rsidRDefault="001A55DC" w:rsidP="00B0551A">
      <w:pPr>
        <w:pStyle w:val="SubheadingWASH"/>
      </w:pPr>
      <w:bookmarkStart w:id="16" w:name="_GoBack"/>
      <w:r>
        <w:rPr>
          <w:noProof/>
          <w:lang w:val="en-US"/>
        </w:rPr>
        <w:lastRenderedPageBreak/>
        <w:drawing>
          <wp:anchor distT="0" distB="0" distL="114300" distR="114300" simplePos="0" relativeHeight="251686912" behindDoc="0" locked="0" layoutInCell="1" allowOverlap="1" wp14:anchorId="41D1C4C0" wp14:editId="2775BE63">
            <wp:simplePos x="0" y="0"/>
            <wp:positionH relativeFrom="margin">
              <wp:posOffset>3340100</wp:posOffset>
            </wp:positionH>
            <wp:positionV relativeFrom="paragraph">
              <wp:posOffset>260985</wp:posOffset>
            </wp:positionV>
            <wp:extent cx="3302000" cy="1397000"/>
            <wp:effectExtent l="0" t="0" r="12700" b="1270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anchor>
        </w:drawing>
      </w:r>
      <w:bookmarkEnd w:id="16"/>
      <w:r w:rsidR="0024772B">
        <w:t>Drinking water storage and cleanliness</w:t>
      </w:r>
      <w:bookmarkEnd w:id="15"/>
    </w:p>
    <w:p w:rsidR="003E607F" w:rsidRDefault="00EB1CC4" w:rsidP="0073660F">
      <w:r>
        <w:t xml:space="preserve">Drinking water storage across the Governorates varies reflecting broader socio-economic and </w:t>
      </w:r>
      <w:r w:rsidR="006C23F3">
        <w:t>demographic trends, and as such</w:t>
      </w:r>
      <w:r>
        <w:t xml:space="preserve"> similar trends to that of domestic water storage can be seen.</w:t>
      </w:r>
    </w:p>
    <w:p w:rsidR="004B19D5" w:rsidRDefault="00DF172C" w:rsidP="00DF172C">
      <w:pPr>
        <w:ind w:right="5246"/>
      </w:pPr>
      <w:r>
        <w:rPr>
          <w:noProof/>
          <w:lang w:val="en-US"/>
        </w:rPr>
        <w:drawing>
          <wp:anchor distT="0" distB="0" distL="114300" distR="114300" simplePos="0" relativeHeight="251689984" behindDoc="0" locked="0" layoutInCell="1" allowOverlap="1" wp14:anchorId="14D1925E" wp14:editId="46E8EC47">
            <wp:simplePos x="0" y="0"/>
            <wp:positionH relativeFrom="margin">
              <wp:posOffset>3327400</wp:posOffset>
            </wp:positionH>
            <wp:positionV relativeFrom="paragraph">
              <wp:posOffset>978535</wp:posOffset>
            </wp:positionV>
            <wp:extent cx="3340100" cy="1320800"/>
            <wp:effectExtent l="0" t="0" r="12700" b="12700"/>
            <wp:wrapSquare wrapText="bothSides"/>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88960" behindDoc="0" locked="0" layoutInCell="1" allowOverlap="1" wp14:anchorId="208B144E" wp14:editId="1296C736">
            <wp:simplePos x="0" y="0"/>
            <wp:positionH relativeFrom="margin">
              <wp:posOffset>0</wp:posOffset>
            </wp:positionH>
            <wp:positionV relativeFrom="paragraph">
              <wp:posOffset>965835</wp:posOffset>
            </wp:positionV>
            <wp:extent cx="3276600" cy="1320800"/>
            <wp:effectExtent l="0" t="0" r="0" b="12700"/>
            <wp:wrapSquare wrapText="bothSides"/>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EB1CC4">
        <w:t>The proportion of households with greater drinking water storag</w:t>
      </w:r>
      <w:r w:rsidR="004428ED">
        <w:t>e capacity increases by HH income</w:t>
      </w:r>
      <w:r w:rsidR="00EB1CC4">
        <w:t xml:space="preserve"> quintile. </w:t>
      </w:r>
      <w:r w:rsidR="004B19D5">
        <w:t>In addition, female-headed households tend to have a lower volume of storage as compared to male-headed households</w:t>
      </w:r>
      <w:r w:rsidR="002B0339">
        <w:t xml:space="preserve"> – a trend that is recurrent with regards materials items</w:t>
      </w:r>
      <w:r w:rsidR="004B19D5">
        <w:t xml:space="preserve">. </w:t>
      </w:r>
    </w:p>
    <w:p w:rsidR="002B0339" w:rsidRDefault="002B0339" w:rsidP="002B0339">
      <w:pPr>
        <w:spacing w:after="0"/>
      </w:pPr>
    </w:p>
    <w:p w:rsidR="001A55DC" w:rsidRDefault="002B0339" w:rsidP="0073660F">
      <w:r>
        <w:rPr>
          <w:noProof/>
          <w:lang w:val="en-US"/>
        </w:rPr>
        <w:drawing>
          <wp:anchor distT="0" distB="0" distL="114300" distR="114300" simplePos="0" relativeHeight="251687936" behindDoc="0" locked="0" layoutInCell="1" allowOverlap="1" wp14:anchorId="4104E0F3" wp14:editId="7336A65D">
            <wp:simplePos x="0" y="0"/>
            <wp:positionH relativeFrom="margin">
              <wp:posOffset>0</wp:posOffset>
            </wp:positionH>
            <wp:positionV relativeFrom="paragraph">
              <wp:posOffset>1098550</wp:posOffset>
            </wp:positionV>
            <wp:extent cx="3263900" cy="1574800"/>
            <wp:effectExtent l="0" t="0" r="12700" b="635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93056" behindDoc="0" locked="0" layoutInCell="1" allowOverlap="1" wp14:anchorId="3D1FED35" wp14:editId="0CDBCD05">
            <wp:simplePos x="0" y="0"/>
            <wp:positionH relativeFrom="margin">
              <wp:posOffset>3331210</wp:posOffset>
            </wp:positionH>
            <wp:positionV relativeFrom="paragraph">
              <wp:posOffset>1085850</wp:posOffset>
            </wp:positionV>
            <wp:extent cx="3314700" cy="1600200"/>
            <wp:effectExtent l="0" t="0" r="0" b="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004B19D5">
        <w:t xml:space="preserve">Those </w:t>
      </w:r>
      <w:r>
        <w:t xml:space="preserve">HH </w:t>
      </w:r>
      <w:r w:rsidR="004B19D5">
        <w:t xml:space="preserve">affected </w:t>
      </w:r>
      <w:r w:rsidR="006C23F3">
        <w:t xml:space="preserve">or displaced </w:t>
      </w:r>
      <w:r w:rsidR="004B19D5">
        <w:t>by the conflict and</w:t>
      </w:r>
      <w:r w:rsidR="004428ED">
        <w:t xml:space="preserve"> those</w:t>
      </w:r>
      <w:r w:rsidR="004B19D5">
        <w:t xml:space="preserve"> in under-served areas tend to have a lower storage capacity as compared to </w:t>
      </w:r>
      <w:r>
        <w:t xml:space="preserve">HHs </w:t>
      </w:r>
      <w:r w:rsidR="004B19D5">
        <w:t xml:space="preserve">unaffected </w:t>
      </w:r>
      <w:r>
        <w:t>by the conflict</w:t>
      </w:r>
      <w:r w:rsidR="004B19D5">
        <w:t xml:space="preserve">. However, where IDP HHs were broadly on par with war-affected HHs in terms of domestic water storage, in terms of drinking water storage, they appear more on par with WASH-affected HHs. </w:t>
      </w:r>
      <w:r>
        <w:t xml:space="preserve">Indeed, </w:t>
      </w:r>
      <w:r w:rsidR="004B19D5">
        <w:t xml:space="preserve">the proportion of IDPs with </w:t>
      </w:r>
      <w:r>
        <w:t xml:space="preserve">very </w:t>
      </w:r>
      <w:r w:rsidR="009565C3">
        <w:t>limited storage is statistically</w:t>
      </w:r>
      <w:r w:rsidR="004B19D5">
        <w:t xml:space="preserve"> consistent with the IDP Registration Survey</w:t>
      </w:r>
      <w:r>
        <w:t xml:space="preserve"> finding</w:t>
      </w:r>
      <w:r w:rsidR="004B19D5">
        <w:t xml:space="preserve">, and their distribution reflects the HH Surveys distribution across the Governorates. </w:t>
      </w:r>
    </w:p>
    <w:p w:rsidR="002B0339" w:rsidRDefault="002B0339" w:rsidP="0073660F"/>
    <w:p w:rsidR="001A55DC" w:rsidRPr="00B80AE4" w:rsidRDefault="002B0339" w:rsidP="00EF205E">
      <w:r>
        <w:t xml:space="preserve">In relation to drinking water storage cleanliness, </w:t>
      </w:r>
      <w:r w:rsidR="004A2AAE">
        <w:t xml:space="preserve">the GVC-UNICEF HH survey found </w:t>
      </w:r>
      <w:r w:rsidR="00651582">
        <w:t>an average of 8.3% of HHs either lack</w:t>
      </w:r>
      <w:r w:rsidR="004A2AAE">
        <w:t>ed</w:t>
      </w:r>
      <w:r w:rsidR="00651582">
        <w:t xml:space="preserve"> a tank cover, or do not clean their storage container. This was found to be most closely correlated to income </w:t>
      </w:r>
      <w:r w:rsidR="00651582" w:rsidRPr="00674CB4">
        <w:rPr>
          <w:highlight w:val="yellow"/>
        </w:rPr>
        <w:t>and education</w:t>
      </w:r>
      <w:r w:rsidR="00674CB4" w:rsidRPr="00674CB4">
        <w:rPr>
          <w:highlight w:val="yellow"/>
        </w:rPr>
        <w:t>?</w:t>
      </w:r>
      <w:r w:rsidR="00651582">
        <w:t xml:space="preserve"> levels.</w:t>
      </w:r>
    </w:p>
    <w:p w:rsidR="00890057" w:rsidRDefault="00890057" w:rsidP="00EF205E">
      <w:r>
        <w:rPr>
          <w:noProof/>
          <w:lang w:val="en-US"/>
        </w:rPr>
        <w:drawing>
          <wp:inline distT="0" distB="0" distL="0" distR="0" wp14:anchorId="33D140E7" wp14:editId="5DED1314">
            <wp:extent cx="3263900" cy="1514475"/>
            <wp:effectExtent l="0" t="0" r="12700"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noProof/>
          <w:lang w:val="en-US"/>
        </w:rPr>
        <w:drawing>
          <wp:inline distT="0" distB="0" distL="0" distR="0" wp14:anchorId="57592A82" wp14:editId="75F91C8B">
            <wp:extent cx="3261360" cy="1489492"/>
            <wp:effectExtent l="0" t="0" r="15240" b="1587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F205E" w:rsidRPr="00E1692F" w:rsidRDefault="00651582">
      <w:r>
        <w:t xml:space="preserve">It should however be noted that the OXFAM KAP </w:t>
      </w:r>
      <w:r w:rsidR="00F1167E">
        <w:t xml:space="preserve">baseline </w:t>
      </w:r>
      <w:r w:rsidR="00674CB4">
        <w:t xml:space="preserve">for </w:t>
      </w:r>
      <w:r w:rsidR="00F1167E">
        <w:t xml:space="preserve">targeted </w:t>
      </w:r>
      <w:r w:rsidR="00674CB4">
        <w:t xml:space="preserve">war-affected </w:t>
      </w:r>
      <w:r w:rsidR="004428ED">
        <w:t xml:space="preserve">areas </w:t>
      </w:r>
      <w:r w:rsidR="009B6F49">
        <w:t xml:space="preserve">in </w:t>
      </w:r>
      <w:r w:rsidR="00F1167E">
        <w:t>2015</w:t>
      </w:r>
      <w:r>
        <w:t xml:space="preserve"> shows considerable variation in the </w:t>
      </w:r>
      <w:r w:rsidRPr="00C50D48">
        <w:rPr>
          <w:i/>
        </w:rPr>
        <w:t>method</w:t>
      </w:r>
      <w:r>
        <w:t xml:space="preserve"> of cleaning practiced, ranging from simple drainage and rinsing</w:t>
      </w:r>
      <w:r w:rsidR="009B6F49">
        <w:t xml:space="preserve"> to the use of soap or disinfec</w:t>
      </w:r>
      <w:r w:rsidR="00B16AA2">
        <w:t xml:space="preserve">tion materials. </w:t>
      </w:r>
      <w:r w:rsidR="00B16AA2">
        <w:lastRenderedPageBreak/>
        <w:t xml:space="preserve">Furthermore, </w:t>
      </w:r>
      <w:r w:rsidR="009B6F49">
        <w:t xml:space="preserve">the </w:t>
      </w:r>
      <w:r w:rsidR="00D138C1">
        <w:t xml:space="preserve">KAP </w:t>
      </w:r>
      <w:r w:rsidR="00B16AA2">
        <w:t>baseline in 2015 indicated that</w:t>
      </w:r>
      <w:r w:rsidR="009B6F49">
        <w:t xml:space="preserve"> only 33% of HHs cleaned the tap as well as the tank. </w:t>
      </w:r>
      <w:r w:rsidR="00C50D48" w:rsidRPr="00C50D48">
        <w:rPr>
          <w:highlight w:val="yellow"/>
        </w:rPr>
        <w:t xml:space="preserve">This would help to explain earlier studies findings that up to XX% of HH drinking water storage tanks were poorly maintained – </w:t>
      </w:r>
      <w:r w:rsidR="00C50D48" w:rsidRPr="00C50D48">
        <w:rPr>
          <w:i/>
          <w:highlight w:val="yellow"/>
        </w:rPr>
        <w:t>was it this or simply that had contamination &amp; so fits with NRC et al study</w:t>
      </w:r>
      <w:r w:rsidR="00C50D48" w:rsidRPr="00C50D48">
        <w:rPr>
          <w:highlight w:val="yellow"/>
        </w:rPr>
        <w:t>?</w:t>
      </w:r>
      <w:r w:rsidR="00C50D48">
        <w:t xml:space="preserve"> </w:t>
      </w:r>
      <w:r w:rsidR="00EF205E">
        <w:br w:type="page"/>
      </w:r>
    </w:p>
    <w:p w:rsidR="0073660F" w:rsidRPr="0075548A" w:rsidRDefault="007E6DF2" w:rsidP="0073660F">
      <w:pPr>
        <w:pStyle w:val="heading1wash"/>
        <w:shd w:val="clear" w:color="auto" w:fill="98FFFC" w:themeFill="accent1" w:themeFillTint="40"/>
      </w:pPr>
      <w:bookmarkStart w:id="17" w:name="_Toc463891937"/>
      <w:r>
        <w:lastRenderedPageBreak/>
        <w:t>SANITATION</w:t>
      </w:r>
      <w:r w:rsidR="00E51CFD">
        <w:t xml:space="preserve"> &amp; DRAINAGE</w:t>
      </w:r>
      <w:bookmarkEnd w:id="17"/>
    </w:p>
    <w:p w:rsidR="00E51CFD" w:rsidRDefault="00B0551A" w:rsidP="00B0551A">
      <w:pPr>
        <w:pStyle w:val="SubheadingWASH"/>
      </w:pPr>
      <w:bookmarkStart w:id="18" w:name="_Toc463891938"/>
      <w:r>
        <w:t>Sewerage</w:t>
      </w:r>
      <w:r w:rsidR="005F32B6">
        <w:t xml:space="preserve"> &amp; Wastewater</w:t>
      </w:r>
      <w:bookmarkEnd w:id="18"/>
    </w:p>
    <w:p w:rsidR="006A0096" w:rsidRDefault="008E21D7" w:rsidP="00855752">
      <w:r>
        <w:rPr>
          <w:noProof/>
          <w:lang w:val="en-US"/>
        </w:rPr>
        <w:drawing>
          <wp:anchor distT="0" distB="0" distL="114300" distR="114300" simplePos="0" relativeHeight="251718656" behindDoc="0" locked="0" layoutInCell="1" allowOverlap="1" wp14:anchorId="7E223D7B" wp14:editId="029D9B30">
            <wp:simplePos x="0" y="0"/>
            <wp:positionH relativeFrom="margin">
              <wp:align>left</wp:align>
            </wp:positionH>
            <wp:positionV relativeFrom="paragraph">
              <wp:posOffset>2543175</wp:posOffset>
            </wp:positionV>
            <wp:extent cx="3166110" cy="1596390"/>
            <wp:effectExtent l="0" t="0" r="15240" b="3810"/>
            <wp:wrapSquare wrapText="bothSides"/>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19680" behindDoc="0" locked="0" layoutInCell="1" allowOverlap="1" wp14:anchorId="4C86DD53" wp14:editId="6CE5A712">
            <wp:simplePos x="0" y="0"/>
            <wp:positionH relativeFrom="margin">
              <wp:posOffset>3336290</wp:posOffset>
            </wp:positionH>
            <wp:positionV relativeFrom="paragraph">
              <wp:posOffset>2556510</wp:posOffset>
            </wp:positionV>
            <wp:extent cx="3301365" cy="1582420"/>
            <wp:effectExtent l="0" t="0" r="13335" b="17780"/>
            <wp:wrapSquare wrapText="bothSides"/>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15584" behindDoc="0" locked="0" layoutInCell="1" allowOverlap="1" wp14:anchorId="0399A76A" wp14:editId="38B84195">
            <wp:simplePos x="0" y="0"/>
            <wp:positionH relativeFrom="margin">
              <wp:align>right</wp:align>
            </wp:positionH>
            <wp:positionV relativeFrom="paragraph">
              <wp:posOffset>17951</wp:posOffset>
            </wp:positionV>
            <wp:extent cx="3097530" cy="1847850"/>
            <wp:effectExtent l="0" t="0" r="7620" b="0"/>
            <wp:wrapSquare wrapText="bothSides"/>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r w:rsidR="00FF5E96">
        <w:t xml:space="preserve">Wastewater infrastructure is not as developed as water infrastructure across the Gaza Strip. While </w:t>
      </w:r>
      <w:r w:rsidR="00FF5E96" w:rsidRPr="00FF5E96">
        <w:rPr>
          <w:highlight w:val="yellow"/>
        </w:rPr>
        <w:t>XX%</w:t>
      </w:r>
      <w:r w:rsidR="00FF5E96">
        <w:t xml:space="preserve"> of HHs are estimated to have access to sanitation, the nature of wastewater disposal varies across geographic areas. Comparing the results of UNICEF MICS, PCBS Household Environmental, CMWU estimates, UNICEF-supported HH Surveys, and Cluster partner HH surveys, there is considerable variation in estimates notably affecting Deir Al-Balah and Khan Yunis Governorates. </w:t>
      </w:r>
      <w:r w:rsidR="00C722E9">
        <w:t xml:space="preserve">The relatively high proportion from the 2015 HH survey may indicate the impact of the 2014 conflict, </w:t>
      </w:r>
      <w:r w:rsidR="005F32B6">
        <w:t>combined with a</w:t>
      </w:r>
      <w:r w:rsidR="00C722E9">
        <w:t xml:space="preserve">n oversampling of WASH underserved areas compared with unaffected areas. Nonetheless, together they broadly support estimates of sewerage network coverage from the CMWU (2014), and correlate with the findings of the IDP reregistration survey. </w:t>
      </w:r>
    </w:p>
    <w:p w:rsidR="002D5736" w:rsidRDefault="002D5736" w:rsidP="00855752"/>
    <w:p w:rsidR="00E121A1" w:rsidRDefault="002B5469" w:rsidP="00855752">
      <w:r>
        <w:rPr>
          <w:noProof/>
          <w:lang w:val="en-US"/>
        </w:rPr>
        <w:drawing>
          <wp:anchor distT="0" distB="0" distL="114300" distR="114300" simplePos="0" relativeHeight="251725824" behindDoc="0" locked="0" layoutInCell="1" allowOverlap="1" wp14:anchorId="47D5D4F6" wp14:editId="7157B98E">
            <wp:simplePos x="0" y="0"/>
            <wp:positionH relativeFrom="margin">
              <wp:align>right</wp:align>
            </wp:positionH>
            <wp:positionV relativeFrom="paragraph">
              <wp:posOffset>1167469</wp:posOffset>
            </wp:positionV>
            <wp:extent cx="3698240" cy="1541780"/>
            <wp:effectExtent l="0" t="0" r="16510" b="1270"/>
            <wp:wrapSquare wrapText="bothSides"/>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sidR="008B2982">
        <w:t>Nonetheless, connection to a sew</w:t>
      </w:r>
      <w:r w:rsidR="00954C5B">
        <w:t>er line</w:t>
      </w:r>
      <w:r w:rsidR="008B2982">
        <w:t xml:space="preserve"> </w:t>
      </w:r>
      <w:r w:rsidR="00A76DB5">
        <w:t xml:space="preserve">belies the condition of the sewerage </w:t>
      </w:r>
      <w:r w:rsidR="00954C5B">
        <w:t xml:space="preserve">network </w:t>
      </w:r>
      <w:r w:rsidR="00A76DB5">
        <w:t xml:space="preserve">and treatment system. </w:t>
      </w:r>
      <w:r w:rsidR="00A76DB5" w:rsidRPr="00A76DB5">
        <w:rPr>
          <w:highlight w:val="yellow"/>
        </w:rPr>
        <w:t>X</w:t>
      </w:r>
      <w:r w:rsidR="00A76DB5">
        <w:t xml:space="preserve"> waste-water treatment plants exist, with an estimated </w:t>
      </w:r>
      <w:r w:rsidR="00A76DB5" w:rsidRPr="00A76DB5">
        <w:rPr>
          <w:highlight w:val="yellow"/>
        </w:rPr>
        <w:t>XXXX</w:t>
      </w:r>
      <w:r w:rsidR="00A76DB5">
        <w:t xml:space="preserve"> capacity to deal with a volume of </w:t>
      </w:r>
      <w:r w:rsidR="00A76DB5" w:rsidRPr="00A76DB5">
        <w:rPr>
          <w:highlight w:val="yellow"/>
        </w:rPr>
        <w:t>XXXXX</w:t>
      </w:r>
      <w:r w:rsidR="00A76DB5">
        <w:t xml:space="preserve">. In reality the treatment capacity is greatly reduced due to cuts in power, and degradation of equipment. As a consequence, an estimated </w:t>
      </w:r>
      <w:r w:rsidR="00A76DB5" w:rsidRPr="00A76DB5">
        <w:rPr>
          <w:highlight w:val="yellow"/>
        </w:rPr>
        <w:t>XXXX</w:t>
      </w:r>
      <w:r w:rsidR="00A76DB5">
        <w:t xml:space="preserve"> of raw or partially treated sewerage flows into the Mediterranean. The capture, treatment and reuse of </w:t>
      </w:r>
      <w:r w:rsidR="0038589F">
        <w:t xml:space="preserve">storm and </w:t>
      </w:r>
      <w:r w:rsidR="00A76DB5">
        <w:t>wastewater</w:t>
      </w:r>
      <w:r w:rsidR="0038589F">
        <w:t>s</w:t>
      </w:r>
      <w:r w:rsidR="00A76DB5">
        <w:t xml:space="preserve"> for irrigation or recharge is an important element of the PWA strategy for the Gaza Strip, however, in the interim, the impact of the current situation </w:t>
      </w:r>
      <w:r w:rsidR="00674CB4">
        <w:t xml:space="preserve">on HHs, institutions, and groundwater quality </w:t>
      </w:r>
      <w:r w:rsidR="00A76DB5">
        <w:t xml:space="preserve">has been noted in other sections. </w:t>
      </w:r>
    </w:p>
    <w:p w:rsidR="007127A7" w:rsidRDefault="00A76DB5" w:rsidP="00855752">
      <w:r>
        <w:t xml:space="preserve">With regards those HHs unconnected to the sewerage network the </w:t>
      </w:r>
      <w:r w:rsidR="007127A7">
        <w:t xml:space="preserve">UNICEF-GVC HH survey </w:t>
      </w:r>
      <w:r w:rsidR="008C7F12">
        <w:t>found varying means of desludging</w:t>
      </w:r>
      <w:r w:rsidR="0024098E">
        <w:t xml:space="preserve">, </w:t>
      </w:r>
      <w:r>
        <w:t xml:space="preserve">suggesting relatively </w:t>
      </w:r>
      <w:r w:rsidR="0024098E">
        <w:t>limited reach of municipal services</w:t>
      </w:r>
      <w:r w:rsidR="00214243">
        <w:t>, notably in WASH-underserved areas</w:t>
      </w:r>
      <w:r w:rsidR="0038589F">
        <w:t xml:space="preserve">, and a </w:t>
      </w:r>
      <w:r w:rsidR="005F32B6">
        <w:t>siz</w:t>
      </w:r>
      <w:r w:rsidR="00AC6519">
        <w:t>able privately-</w:t>
      </w:r>
      <w:r w:rsidR="005F32B6">
        <w:t>funded market, though no specific studies with re</w:t>
      </w:r>
      <w:r w:rsidR="00AC6519">
        <w:t>gards desludging</w:t>
      </w:r>
      <w:r w:rsidR="005F32B6">
        <w:t xml:space="preserve"> practices could be identified. </w:t>
      </w:r>
    </w:p>
    <w:p w:rsidR="008C7F12" w:rsidRDefault="008C7F12" w:rsidP="00855752"/>
    <w:p w:rsidR="006A0096" w:rsidRDefault="006A0096" w:rsidP="00855752"/>
    <w:p w:rsidR="00214243" w:rsidRDefault="00214243" w:rsidP="00855752"/>
    <w:p w:rsidR="00214243" w:rsidRDefault="00214243" w:rsidP="00855752"/>
    <w:p w:rsidR="0038589F" w:rsidRDefault="0038589F" w:rsidP="00855752"/>
    <w:p w:rsidR="008B2982" w:rsidRDefault="008B2982" w:rsidP="008B2982">
      <w:pPr>
        <w:pStyle w:val="SubheadingWASH"/>
      </w:pPr>
      <w:bookmarkStart w:id="19" w:name="_Toc463891939"/>
      <w:r>
        <w:lastRenderedPageBreak/>
        <w:t>Flood risk areas</w:t>
      </w:r>
      <w:bookmarkEnd w:id="19"/>
    </w:p>
    <w:p w:rsidR="008B2982" w:rsidRPr="00310CBB" w:rsidRDefault="008B2982" w:rsidP="008B2982">
      <w:r>
        <w:rPr>
          <w:noProof/>
          <w:lang w:val="en-US"/>
        </w:rPr>
        <w:drawing>
          <wp:anchor distT="0" distB="0" distL="114300" distR="114300" simplePos="0" relativeHeight="251721728" behindDoc="0" locked="0" layoutInCell="1" allowOverlap="1" wp14:anchorId="3933FBFE" wp14:editId="1A5713CC">
            <wp:simplePos x="0" y="0"/>
            <wp:positionH relativeFrom="margin">
              <wp:align>right</wp:align>
            </wp:positionH>
            <wp:positionV relativeFrom="paragraph">
              <wp:posOffset>10622</wp:posOffset>
            </wp:positionV>
            <wp:extent cx="3079115" cy="1901330"/>
            <wp:effectExtent l="0" t="0" r="6985" b="381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r>
        <w:t xml:space="preserve">The VPP suggests that a relatively high proportion of the population is at risk of flood events in the various Governorates. This risk has been confirmed by </w:t>
      </w:r>
      <w:r w:rsidRPr="00310CBB">
        <w:t xml:space="preserve">WASH </w:t>
      </w:r>
      <w:r>
        <w:t xml:space="preserve">Cluster partners, who have </w:t>
      </w:r>
      <w:r w:rsidR="007D150E">
        <w:t xml:space="preserve">built on </w:t>
      </w:r>
      <w:r>
        <w:t xml:space="preserve">detailed flood risk mapping </w:t>
      </w:r>
      <w:r w:rsidR="007D150E">
        <w:t xml:space="preserve">by ACF and UNRWA </w:t>
      </w:r>
      <w:r>
        <w:t xml:space="preserve">over the last years, identifying multiple areas, causes, and populations at risk. </w:t>
      </w:r>
    </w:p>
    <w:p w:rsidR="008B2982" w:rsidRDefault="008B2982" w:rsidP="008B2982">
      <w:pPr>
        <w:rPr>
          <w:noProof/>
          <w:lang w:val="en-US"/>
        </w:rPr>
      </w:pPr>
      <w:r>
        <w:rPr>
          <w:noProof/>
          <w:lang w:val="en-US"/>
        </w:rPr>
        <w:drawing>
          <wp:anchor distT="0" distB="0" distL="114300" distR="114300" simplePos="0" relativeHeight="251723776" behindDoc="0" locked="0" layoutInCell="1" allowOverlap="1" wp14:anchorId="199F2864" wp14:editId="09DD4F69">
            <wp:simplePos x="0" y="0"/>
            <wp:positionH relativeFrom="margin">
              <wp:align>left</wp:align>
            </wp:positionH>
            <wp:positionV relativeFrom="paragraph">
              <wp:posOffset>1418524</wp:posOffset>
            </wp:positionV>
            <wp:extent cx="2968625" cy="1914525"/>
            <wp:effectExtent l="0" t="0" r="3175" b="9525"/>
            <wp:wrapSquare wrapText="bothSides"/>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r w:rsidR="008E4842">
        <w:rPr>
          <w:noProof/>
          <w:lang w:val="en-US"/>
        </w:rPr>
        <w:t>Flood events</w:t>
      </w:r>
      <w:r>
        <w:rPr>
          <w:noProof/>
          <w:lang w:val="en-US"/>
        </w:rPr>
        <w:t xml:space="preserve"> are associated with a variety of factors, including: storm surges and poor storm water drainage infrastructure; clogging of natural and constructed drainage channels; limited infiltration capacity in certain wastewater ponds; collection in depression areas; electricity cuts and fuel shortages affecting pumping stations; and relatively limited equipment for service providers to adequately respond to flood events.</w:t>
      </w:r>
      <w:r w:rsidR="008E4842">
        <w:rPr>
          <w:noProof/>
          <w:lang w:val="en-US"/>
        </w:rPr>
        <w:t xml:space="preserve"> </w:t>
      </w:r>
      <w:r w:rsidR="008E4842" w:rsidRPr="008E4842">
        <w:rPr>
          <w:noProof/>
          <w:highlight w:val="yellow"/>
          <w:lang w:val="en-US"/>
        </w:rPr>
        <w:t>Furthermore, larger flood events in the recent past have typically led to the temporary displacement of affected households to UNRWA shelters.</w:t>
      </w:r>
      <w:r w:rsidR="008E4842">
        <w:rPr>
          <w:noProof/>
          <w:lang w:val="en-US"/>
        </w:rPr>
        <w:t xml:space="preserve"> </w:t>
      </w:r>
    </w:p>
    <w:p w:rsidR="008B2982" w:rsidRDefault="008B2982" w:rsidP="008B2982">
      <w:pPr>
        <w:rPr>
          <w:b/>
          <w:i/>
          <w:noProof/>
          <w:lang w:val="en-US"/>
        </w:rPr>
      </w:pPr>
      <w:r>
        <w:rPr>
          <w:noProof/>
          <w:lang w:val="en-US"/>
        </w:rPr>
        <w:drawing>
          <wp:anchor distT="0" distB="0" distL="114300" distR="114300" simplePos="0" relativeHeight="251722752" behindDoc="0" locked="0" layoutInCell="1" allowOverlap="1" wp14:anchorId="0A3C22C6" wp14:editId="400EBF2D">
            <wp:simplePos x="0" y="0"/>
            <wp:positionH relativeFrom="margin">
              <wp:align>right</wp:align>
            </wp:positionH>
            <wp:positionV relativeFrom="paragraph">
              <wp:posOffset>3068</wp:posOffset>
            </wp:positionV>
            <wp:extent cx="3509645" cy="1898650"/>
            <wp:effectExtent l="0" t="0" r="14605" b="6350"/>
            <wp:wrapSquare wrapText="bothSides"/>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p>
    <w:p w:rsidR="008B2982" w:rsidRPr="003B6C5B" w:rsidRDefault="008B2982" w:rsidP="008B2982">
      <w:pPr>
        <w:rPr>
          <w:noProof/>
          <w:lang w:val="en-US"/>
        </w:rPr>
      </w:pPr>
      <w:r>
        <w:rPr>
          <w:noProof/>
          <w:lang w:val="en-US"/>
        </w:rPr>
        <w:drawing>
          <wp:anchor distT="0" distB="0" distL="114300" distR="114300" simplePos="0" relativeHeight="251724800" behindDoc="0" locked="0" layoutInCell="1" allowOverlap="1" wp14:anchorId="10C8F280" wp14:editId="45FC3A3F">
            <wp:simplePos x="0" y="0"/>
            <wp:positionH relativeFrom="margin">
              <wp:align>right</wp:align>
            </wp:positionH>
            <wp:positionV relativeFrom="paragraph">
              <wp:posOffset>15083</wp:posOffset>
            </wp:positionV>
            <wp:extent cx="3467100" cy="1719072"/>
            <wp:effectExtent l="0" t="0" r="0" b="14605"/>
            <wp:wrapSquare wrapText="bothSides"/>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r>
        <w:rPr>
          <w:noProof/>
          <w:lang w:val="en-US"/>
        </w:rPr>
        <w:t>Flooding represents a seasonal risk in the Gaza Strip, intrinsically linked to inadequacies in both the storm and waste-water infrastructure</w:t>
      </w:r>
      <w:r w:rsidR="0038589F">
        <w:rPr>
          <w:noProof/>
          <w:lang w:val="en-US"/>
        </w:rPr>
        <w:t>, which are often mixed</w:t>
      </w:r>
      <w:r>
        <w:rPr>
          <w:noProof/>
          <w:lang w:val="en-US"/>
        </w:rPr>
        <w:t xml:space="preserve">. Nonetheless, it should be noted that given these inadequacies, small-scale flooding by wastewater remains a year-round risk in certain areas, due to electricity cuts and fuel shortages at key wastewater pumping stations. Indeed, although the Cluster estimates some 26% of the population at </w:t>
      </w:r>
      <w:r w:rsidRPr="008B2982">
        <w:rPr>
          <w:i/>
          <w:noProof/>
          <w:lang w:val="en-US"/>
        </w:rPr>
        <w:t>direct risk</w:t>
      </w:r>
      <w:r>
        <w:rPr>
          <w:noProof/>
          <w:lang w:val="en-US"/>
        </w:rPr>
        <w:t xml:space="preserve"> of flooding, the UNICEF-GVC HH survey noted that nearly 60% of respondents had experienced flooding of the sewerage network </w:t>
      </w:r>
      <w:r w:rsidRPr="008B2982">
        <w:rPr>
          <w:i/>
          <w:noProof/>
          <w:lang w:val="en-US"/>
        </w:rPr>
        <w:t>near to their homes</w:t>
      </w:r>
      <w:r>
        <w:rPr>
          <w:noProof/>
          <w:lang w:val="en-US"/>
        </w:rPr>
        <w:t xml:space="preserve">, frequently occuring during both summer and winter months. </w:t>
      </w:r>
    </w:p>
    <w:p w:rsidR="008B2982" w:rsidRDefault="008B2982" w:rsidP="008B2982">
      <w:pPr>
        <w:rPr>
          <w:noProof/>
          <w:lang w:val="en-US"/>
        </w:rPr>
      </w:pPr>
    </w:p>
    <w:p w:rsidR="00954C5B" w:rsidRDefault="00954C5B">
      <w:pPr>
        <w:rPr>
          <w:rFonts w:eastAsiaTheme="majorEastAsia" w:cs="Arial"/>
          <w:b/>
          <w:bCs/>
          <w:color w:val="006666"/>
          <w:sz w:val="28"/>
          <w:szCs w:val="28"/>
        </w:rPr>
      </w:pPr>
      <w:r>
        <w:br w:type="page"/>
      </w:r>
    </w:p>
    <w:p w:rsidR="00510C1A" w:rsidRPr="0075548A" w:rsidRDefault="007E6DF2" w:rsidP="00510C1A">
      <w:pPr>
        <w:pStyle w:val="heading1wash"/>
        <w:shd w:val="clear" w:color="auto" w:fill="98FFFC" w:themeFill="accent1" w:themeFillTint="40"/>
      </w:pPr>
      <w:bookmarkStart w:id="20" w:name="_Toc463891940"/>
      <w:r>
        <w:lastRenderedPageBreak/>
        <w:t>SOLID WASTE</w:t>
      </w:r>
      <w:bookmarkEnd w:id="20"/>
    </w:p>
    <w:p w:rsidR="00087CD5" w:rsidRDefault="001A31FB" w:rsidP="00855752">
      <w:r>
        <w:rPr>
          <w:noProof/>
          <w:lang w:val="en-US"/>
        </w:rPr>
        <w:drawing>
          <wp:anchor distT="0" distB="0" distL="114300" distR="114300" simplePos="0" relativeHeight="251745280" behindDoc="0" locked="0" layoutInCell="1" allowOverlap="1" wp14:anchorId="235374BF" wp14:editId="53B27909">
            <wp:simplePos x="0" y="0"/>
            <wp:positionH relativeFrom="margin">
              <wp:align>right</wp:align>
            </wp:positionH>
            <wp:positionV relativeFrom="paragraph">
              <wp:posOffset>14110</wp:posOffset>
            </wp:positionV>
            <wp:extent cx="3833495" cy="1626870"/>
            <wp:effectExtent l="0" t="0" r="14605" b="1143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r w:rsidR="00B87D0B">
        <w:t xml:space="preserve">Solid Waste </w:t>
      </w:r>
      <w:r w:rsidR="008931E0">
        <w:t xml:space="preserve">management is a long-standing issue and </w:t>
      </w:r>
      <w:r w:rsidR="00B87D0B">
        <w:t>remains a major challenge throughout the Gaza Strip</w:t>
      </w:r>
      <w:r w:rsidR="00087CD5">
        <w:t xml:space="preserve">. Solid waste is disposed of in </w:t>
      </w:r>
      <w:r w:rsidR="00087CD5" w:rsidRPr="00CE78C4">
        <w:rPr>
          <w:highlight w:val="yellow"/>
        </w:rPr>
        <w:t>X</w:t>
      </w:r>
      <w:r w:rsidR="00CE78C4" w:rsidRPr="00CE78C4">
        <w:rPr>
          <w:highlight w:val="yellow"/>
        </w:rPr>
        <w:t>(3)</w:t>
      </w:r>
      <w:r w:rsidR="00087CD5">
        <w:t xml:space="preserve"> landfills, 1 site for hazardous wastes, and </w:t>
      </w:r>
      <w:r w:rsidR="00087CD5" w:rsidRPr="00087CD5">
        <w:rPr>
          <w:highlight w:val="yellow"/>
        </w:rPr>
        <w:t>X</w:t>
      </w:r>
      <w:r w:rsidR="00CE78C4" w:rsidRPr="00CE78C4">
        <w:rPr>
          <w:highlight w:val="yellow"/>
        </w:rPr>
        <w:t>(5)</w:t>
      </w:r>
      <w:r w:rsidR="00087CD5">
        <w:t xml:space="preserve"> </w:t>
      </w:r>
      <w:r w:rsidR="00D166D2">
        <w:t xml:space="preserve">small </w:t>
      </w:r>
      <w:r w:rsidR="00087CD5">
        <w:t xml:space="preserve">recycling centers. </w:t>
      </w:r>
      <w:r w:rsidR="009B3F0C">
        <w:t>Household w</w:t>
      </w:r>
      <w:r w:rsidR="00087CD5">
        <w:t xml:space="preserve">aste is </w:t>
      </w:r>
      <w:r w:rsidR="00937099">
        <w:t xml:space="preserve">typically </w:t>
      </w:r>
      <w:r w:rsidR="00087CD5">
        <w:t xml:space="preserve">collected in communal containers or open spaces and removed through a variety of means (cart, truck, crane), </w:t>
      </w:r>
      <w:r w:rsidR="009B3F0C">
        <w:t xml:space="preserve">either directly to a landfill or to secondary holding areas. </w:t>
      </w:r>
      <w:r w:rsidR="00087CD5">
        <w:t xml:space="preserve">These services are ensured by municipalities, joint service councils, or UNRWA depending on the location. </w:t>
      </w:r>
    </w:p>
    <w:p w:rsidR="00087CD5" w:rsidRDefault="007A17B9" w:rsidP="00855752">
      <w:r>
        <w:rPr>
          <w:noProof/>
          <w:lang w:val="en-US"/>
        </w:rPr>
        <w:drawing>
          <wp:anchor distT="0" distB="0" distL="114300" distR="114300" simplePos="0" relativeHeight="251750400" behindDoc="0" locked="0" layoutInCell="1" allowOverlap="1" wp14:anchorId="5423855B" wp14:editId="71BFDB9B">
            <wp:simplePos x="0" y="0"/>
            <wp:positionH relativeFrom="margin">
              <wp:posOffset>5715</wp:posOffset>
            </wp:positionH>
            <wp:positionV relativeFrom="paragraph">
              <wp:posOffset>1122045</wp:posOffset>
            </wp:positionV>
            <wp:extent cx="3229610" cy="1543685"/>
            <wp:effectExtent l="0" t="0" r="8890" b="18415"/>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49376" behindDoc="0" locked="0" layoutInCell="1" allowOverlap="1" wp14:anchorId="08123B05" wp14:editId="3E6EE72A">
            <wp:simplePos x="0" y="0"/>
            <wp:positionH relativeFrom="margin">
              <wp:posOffset>3388360</wp:posOffset>
            </wp:positionH>
            <wp:positionV relativeFrom="paragraph">
              <wp:posOffset>1127950</wp:posOffset>
            </wp:positionV>
            <wp:extent cx="3241675" cy="1543685"/>
            <wp:effectExtent l="0" t="0" r="15875" b="18415"/>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V relativeFrom="margin">
              <wp14:pctHeight>0</wp14:pctHeight>
            </wp14:sizeRelV>
          </wp:anchor>
        </w:drawing>
      </w:r>
      <w:r w:rsidR="008931E0">
        <w:t xml:space="preserve">Although interventions </w:t>
      </w:r>
      <w:r w:rsidR="00087CD5">
        <w:t xml:space="preserve">over recent years </w:t>
      </w:r>
      <w:r w:rsidR="008931E0">
        <w:t xml:space="preserve">have helped improve the situation and maintain a level of service, long-term solutions are complicated by </w:t>
      </w:r>
      <w:r w:rsidR="00087CD5">
        <w:t xml:space="preserve">increasing waste production, </w:t>
      </w:r>
      <w:r w:rsidR="008931E0">
        <w:t>limited space for new landfills, and limited recycling of waste</w:t>
      </w:r>
      <w:r w:rsidR="00C913F2">
        <w:rPr>
          <w:rStyle w:val="FootnoteReference"/>
        </w:rPr>
        <w:footnoteReference w:id="1"/>
      </w:r>
      <w:r w:rsidR="00087CD5">
        <w:t xml:space="preserve">, in addition to a complex </w:t>
      </w:r>
      <w:r w:rsidR="00087CD5" w:rsidRPr="00CE78C4">
        <w:rPr>
          <w:highlight w:val="yellow"/>
        </w:rPr>
        <w:t>regulatory</w:t>
      </w:r>
      <w:r w:rsidR="00087CD5">
        <w:t xml:space="preserve"> environment</w:t>
      </w:r>
      <w:r w:rsidR="00C913F2">
        <w:rPr>
          <w:rStyle w:val="FootnoteReference"/>
        </w:rPr>
        <w:footnoteReference w:id="2"/>
      </w:r>
      <w:r w:rsidR="00087CD5">
        <w:t xml:space="preserve">. </w:t>
      </w:r>
      <w:r w:rsidR="00937099">
        <w:t xml:space="preserve">Furthermore, with </w:t>
      </w:r>
      <w:r w:rsidR="009B3F0C">
        <w:t>limited segregation of industr</w:t>
      </w:r>
      <w:r w:rsidR="00937099">
        <w:t>ial and medical wastes, these may find themselves mixed within the flow of regular household waste, exposing populations and the environment</w:t>
      </w:r>
      <w:r w:rsidR="00C913F2">
        <w:rPr>
          <w:rStyle w:val="FootnoteReference"/>
        </w:rPr>
        <w:footnoteReference w:id="3"/>
      </w:r>
      <w:r w:rsidR="00937099">
        <w:t xml:space="preserve">. </w:t>
      </w:r>
      <w:r w:rsidR="00FB48C2">
        <w:t>While not directly comparable, the results of the PHG-UNICEF (2010) and GVC-UNICEF (2015) HH surveys suggest</w:t>
      </w:r>
      <w:r w:rsidR="00204B0D">
        <w:t xml:space="preserve"> similar levels or </w:t>
      </w:r>
      <w:r w:rsidR="00FB48C2">
        <w:t xml:space="preserve">improvements in waste collection frequency. </w:t>
      </w:r>
    </w:p>
    <w:p w:rsidR="004C5BF1" w:rsidRDefault="004C5BF1" w:rsidP="004C5BF1">
      <w:pPr>
        <w:spacing w:after="0"/>
      </w:pPr>
    </w:p>
    <w:p w:rsidR="00FB48C2" w:rsidRDefault="00937099" w:rsidP="004C5BF1">
      <w:r>
        <w:t xml:space="preserve">The UNICEF-GVC HH Survey conducted in 2015 found that the </w:t>
      </w:r>
      <w:r w:rsidR="00B87D0B">
        <w:t xml:space="preserve">majority of </w:t>
      </w:r>
      <w:r>
        <w:t xml:space="preserve">HHs reported </w:t>
      </w:r>
      <w:r w:rsidR="00B87D0B">
        <w:t>dispos</w:t>
      </w:r>
      <w:r>
        <w:t>ing</w:t>
      </w:r>
      <w:r w:rsidR="00B87D0B">
        <w:t xml:space="preserve"> of household waste in </w:t>
      </w:r>
      <w:r>
        <w:t>an open space</w:t>
      </w:r>
      <w:r w:rsidR="00B87D0B">
        <w:t xml:space="preserve"> near where they live. Combined with relatively infrequent collection and removal, this poses a health risk providing a breeding ground for various vectors.</w:t>
      </w:r>
      <w:r>
        <w:t xml:space="preserve"> In addition, where wastes pile up in open spaces or secondary holding spaces, a common practice is to burn the waste to make room for more</w:t>
      </w:r>
      <w:r w:rsidR="00C913F2">
        <w:rPr>
          <w:rStyle w:val="FootnoteReference"/>
        </w:rPr>
        <w:footnoteReference w:id="4"/>
      </w:r>
      <w:r w:rsidR="001A31FB">
        <w:t>, and given the mix of waste streams this may have health implications for nearby HHs</w:t>
      </w:r>
      <w:r>
        <w:t>.</w:t>
      </w:r>
      <w:r w:rsidR="002521BC">
        <w:t xml:space="preserve"> </w:t>
      </w:r>
    </w:p>
    <w:p w:rsidR="004C5BF1" w:rsidRPr="002521BC" w:rsidRDefault="00FB48C2" w:rsidP="004C5BF1">
      <w:r>
        <w:rPr>
          <w:noProof/>
          <w:lang w:val="en-US"/>
        </w:rPr>
        <w:drawing>
          <wp:anchor distT="0" distB="0" distL="114300" distR="114300" simplePos="0" relativeHeight="251747328" behindDoc="0" locked="0" layoutInCell="1" allowOverlap="1" wp14:anchorId="34784BE8" wp14:editId="0604D183">
            <wp:simplePos x="0" y="0"/>
            <wp:positionH relativeFrom="margin">
              <wp:posOffset>0</wp:posOffset>
            </wp:positionH>
            <wp:positionV relativeFrom="paragraph">
              <wp:posOffset>820420</wp:posOffset>
            </wp:positionV>
            <wp:extent cx="3253740" cy="1537970"/>
            <wp:effectExtent l="0" t="0" r="3810" b="5080"/>
            <wp:wrapSquare wrapText="bothSides"/>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46304" behindDoc="0" locked="0" layoutInCell="1" allowOverlap="1" wp14:anchorId="07E7A231" wp14:editId="5C45D83D">
            <wp:simplePos x="0" y="0"/>
            <wp:positionH relativeFrom="margin">
              <wp:posOffset>3369310</wp:posOffset>
            </wp:positionH>
            <wp:positionV relativeFrom="paragraph">
              <wp:posOffset>820865</wp:posOffset>
            </wp:positionV>
            <wp:extent cx="3276600" cy="1537970"/>
            <wp:effectExtent l="0" t="0" r="0" b="5080"/>
            <wp:wrapSquare wrapText="bothSides"/>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margin">
              <wp14:pctWidth>0</wp14:pctWidth>
            </wp14:sizeRelH>
          </wp:anchor>
        </w:drawing>
      </w:r>
      <w:r w:rsidR="002521BC">
        <w:t>Waste disposal methods are on average related to geographical location rather than income or specific HH types, although as might be presumed war-affected areas have less access to waste containers</w:t>
      </w:r>
      <w:r w:rsidR="003E4003">
        <w:t xml:space="preserve">, and less frequent collection </w:t>
      </w:r>
      <w:r w:rsidR="002521BC">
        <w:t xml:space="preserve">on average compared to other areas. </w:t>
      </w:r>
      <w:r w:rsidR="00937099">
        <w:t xml:space="preserve"> </w:t>
      </w:r>
      <w:r w:rsidR="004C5BF1">
        <w:t xml:space="preserve">Indeed, from the graphs below, it is clear that on average solid waste disposal and collection services are best in UNRWA served refugee camps, and worst in rural areas both in terms of disposal method and frequency of collection. </w:t>
      </w:r>
    </w:p>
    <w:p w:rsidR="00B87D0B" w:rsidRDefault="00CE78C4" w:rsidP="00855752">
      <w:r>
        <w:rPr>
          <w:noProof/>
          <w:lang w:val="en-US"/>
        </w:rPr>
        <w:lastRenderedPageBreak/>
        <w:drawing>
          <wp:anchor distT="0" distB="0" distL="114300" distR="114300" simplePos="0" relativeHeight="251696128" behindDoc="0" locked="0" layoutInCell="1" allowOverlap="1" wp14:anchorId="0A9F8E3F" wp14:editId="2620CA2D">
            <wp:simplePos x="0" y="0"/>
            <wp:positionH relativeFrom="margin">
              <wp:posOffset>3048000</wp:posOffset>
            </wp:positionH>
            <wp:positionV relativeFrom="paragraph">
              <wp:posOffset>9525</wp:posOffset>
            </wp:positionV>
            <wp:extent cx="3588385" cy="1638300"/>
            <wp:effectExtent l="0" t="0" r="12065" b="0"/>
            <wp:wrapSquare wrapText="bothSides"/>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margin">
              <wp14:pctWidth>0</wp14:pctWidth>
            </wp14:sizeRelH>
            <wp14:sizeRelV relativeFrom="margin">
              <wp14:pctHeight>0</wp14:pctHeight>
            </wp14:sizeRelV>
          </wp:anchor>
        </w:drawing>
      </w:r>
      <w:r w:rsidR="00FB48C2">
        <w:t xml:space="preserve">It should also be noted that </w:t>
      </w:r>
      <w:r w:rsidR="007A17B9">
        <w:t>there has been little change in</w:t>
      </w:r>
      <w:r w:rsidR="00FB48C2">
        <w:t xml:space="preserve"> the proportion of the population living in close proximity to solid waste accumulations. Indeed, c</w:t>
      </w:r>
      <w:r w:rsidR="00937099">
        <w:t xml:space="preserve">omparing </w:t>
      </w:r>
      <w:r w:rsidR="00FB48C2">
        <w:t xml:space="preserve">the PHG and GVC </w:t>
      </w:r>
      <w:r w:rsidR="00937099">
        <w:t>H</w:t>
      </w:r>
      <w:r w:rsidR="00FB48C2">
        <w:t>H level surveys</w:t>
      </w:r>
      <w:r w:rsidR="00937099">
        <w:t xml:space="preserve">, </w:t>
      </w:r>
      <w:r w:rsidR="00B87D0B">
        <w:t>an increase in the proportion of the population living in close proximity to solid waste accumulations</w:t>
      </w:r>
      <w:r w:rsidR="00937099">
        <w:t xml:space="preserve"> is indicated</w:t>
      </w:r>
      <w:r w:rsidR="00B87D0B">
        <w:t xml:space="preserve">, and while the fluctuations are not statistically significant, over 10% of the population are affected. </w:t>
      </w:r>
    </w:p>
    <w:p w:rsidR="00B87D0B" w:rsidRDefault="00B87D0B" w:rsidP="00855752"/>
    <w:p w:rsidR="00580F79" w:rsidRDefault="00580F79">
      <w:pPr>
        <w:rPr>
          <w:rFonts w:eastAsiaTheme="majorEastAsia" w:cs="Arial"/>
          <w:b/>
          <w:bCs/>
          <w:color w:val="006666"/>
          <w:sz w:val="28"/>
          <w:szCs w:val="28"/>
        </w:rPr>
      </w:pPr>
      <w:r>
        <w:br w:type="page"/>
      </w:r>
    </w:p>
    <w:p w:rsidR="005F494F" w:rsidRPr="0075548A" w:rsidRDefault="007E6DF2" w:rsidP="005F494F">
      <w:pPr>
        <w:pStyle w:val="heading1wash"/>
        <w:shd w:val="clear" w:color="auto" w:fill="98FFFC" w:themeFill="accent1" w:themeFillTint="40"/>
      </w:pPr>
      <w:bookmarkStart w:id="21" w:name="_Toc463891941"/>
      <w:r>
        <w:lastRenderedPageBreak/>
        <w:t>HYGIENE</w:t>
      </w:r>
      <w:r w:rsidR="00E51CFD">
        <w:t xml:space="preserve"> &amp; MHM</w:t>
      </w:r>
      <w:bookmarkEnd w:id="21"/>
    </w:p>
    <w:p w:rsidR="00FC160C" w:rsidRDefault="00FC160C" w:rsidP="00B0551A">
      <w:pPr>
        <w:pStyle w:val="SubheadingWASH"/>
      </w:pPr>
      <w:bookmarkStart w:id="22" w:name="_Toc463891942"/>
      <w:r>
        <w:t>Bathing practices</w:t>
      </w:r>
      <w:bookmarkEnd w:id="22"/>
    </w:p>
    <w:p w:rsidR="00275A41" w:rsidRDefault="00317E3B" w:rsidP="007D430B">
      <w:r>
        <w:rPr>
          <w:noProof/>
          <w:lang w:val="en-US"/>
        </w:rPr>
        <w:drawing>
          <wp:anchor distT="0" distB="0" distL="114300" distR="114300" simplePos="0" relativeHeight="251698176" behindDoc="0" locked="0" layoutInCell="1" allowOverlap="1" wp14:anchorId="4E70959C" wp14:editId="502862A1">
            <wp:simplePos x="0" y="0"/>
            <wp:positionH relativeFrom="margin">
              <wp:posOffset>3333115</wp:posOffset>
            </wp:positionH>
            <wp:positionV relativeFrom="paragraph">
              <wp:posOffset>461010</wp:posOffset>
            </wp:positionV>
            <wp:extent cx="3378835" cy="1725295"/>
            <wp:effectExtent l="0" t="0" r="12065" b="8255"/>
            <wp:wrapSquare wrapText="bothSides"/>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97152" behindDoc="0" locked="0" layoutInCell="1" allowOverlap="1" wp14:anchorId="6E222866" wp14:editId="2F74D528">
            <wp:simplePos x="0" y="0"/>
            <wp:positionH relativeFrom="margin">
              <wp:posOffset>0</wp:posOffset>
            </wp:positionH>
            <wp:positionV relativeFrom="paragraph">
              <wp:posOffset>438312</wp:posOffset>
            </wp:positionV>
            <wp:extent cx="3331210" cy="1746250"/>
            <wp:effectExtent l="0" t="0" r="2540" b="6350"/>
            <wp:wrapSquare wrapText="bothSides"/>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V relativeFrom="margin">
              <wp14:pctHeight>0</wp14:pctHeight>
            </wp14:sizeRelV>
          </wp:anchor>
        </w:drawing>
      </w:r>
      <w:r w:rsidR="00BC4FBE">
        <w:t xml:space="preserve">While most HHs report showering more 4 or more times a week during summer months, </w:t>
      </w:r>
      <w:r w:rsidR="008E4842">
        <w:t xml:space="preserve">however, </w:t>
      </w:r>
      <w:r w:rsidR="00BC4FBE">
        <w:t xml:space="preserve">this decreases substantially in winter months though most HHs reporting bathing at least once a week. </w:t>
      </w:r>
    </w:p>
    <w:p w:rsidR="00E9343D" w:rsidRDefault="00E9343D" w:rsidP="007D430B"/>
    <w:p w:rsidR="00BC4FBE" w:rsidRDefault="004C71AC" w:rsidP="007D430B">
      <w:r>
        <w:rPr>
          <w:noProof/>
          <w:lang w:val="en-US"/>
        </w:rPr>
        <w:drawing>
          <wp:anchor distT="0" distB="0" distL="114300" distR="114300" simplePos="0" relativeHeight="251751424" behindDoc="0" locked="0" layoutInCell="1" allowOverlap="1" wp14:anchorId="585BDF84" wp14:editId="579AA53E">
            <wp:simplePos x="0" y="0"/>
            <wp:positionH relativeFrom="margin">
              <wp:posOffset>3402330</wp:posOffset>
            </wp:positionH>
            <wp:positionV relativeFrom="paragraph">
              <wp:posOffset>983615</wp:posOffset>
            </wp:positionV>
            <wp:extent cx="3232150" cy="1403350"/>
            <wp:effectExtent l="0" t="0" r="6350" b="6350"/>
            <wp:wrapSquare wrapText="bothSides"/>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r>
        <w:rPr>
          <w:noProof/>
          <w:lang w:val="en-US"/>
        </w:rPr>
        <w:drawing>
          <wp:anchor distT="0" distB="0" distL="114300" distR="114300" simplePos="0" relativeHeight="251752448" behindDoc="0" locked="0" layoutInCell="1" allowOverlap="1" wp14:anchorId="0EB0D522" wp14:editId="30ED2B08">
            <wp:simplePos x="0" y="0"/>
            <wp:positionH relativeFrom="margin">
              <wp:posOffset>0</wp:posOffset>
            </wp:positionH>
            <wp:positionV relativeFrom="paragraph">
              <wp:posOffset>962498</wp:posOffset>
            </wp:positionV>
            <wp:extent cx="3263900" cy="1413510"/>
            <wp:effectExtent l="0" t="0" r="12700" b="15240"/>
            <wp:wrapSquare wrapText="bothSides"/>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r w:rsidR="00E9343D">
        <w:t xml:space="preserve">Comparing across income quintiles, a difference in means of </w:t>
      </w:r>
      <w:r w:rsidR="008E4842">
        <w:t xml:space="preserve">water </w:t>
      </w:r>
      <w:r w:rsidR="00E9343D">
        <w:t xml:space="preserve">heating becomes apparent – in addition to the most common method of electrical heating, the upper quintiles use more solar power, the middle </w:t>
      </w:r>
      <w:r>
        <w:t xml:space="preserve">and lower </w:t>
      </w:r>
      <w:r w:rsidR="00E9343D">
        <w:t>quintiles use more</w:t>
      </w:r>
      <w:r>
        <w:t xml:space="preserve"> gas, and the lowest</w:t>
      </w:r>
      <w:r w:rsidR="00E9343D">
        <w:t xml:space="preserve"> quintiles use more wood, and </w:t>
      </w:r>
      <w:r>
        <w:t xml:space="preserve">winter </w:t>
      </w:r>
      <w:r w:rsidR="00E9343D">
        <w:t>bathing frequency increases with each quintile. This should also be considered against the existence and state of showers, explored in the WASH in Shelter section</w:t>
      </w:r>
      <w:r w:rsidR="009016C3">
        <w:t xml:space="preserve"> below</w:t>
      </w:r>
      <w:r w:rsidR="00E9343D">
        <w:t xml:space="preserve">, whereby access to showers also increases with each quintile. </w:t>
      </w:r>
    </w:p>
    <w:p w:rsidR="00BC4FBE" w:rsidRDefault="00BC4FBE" w:rsidP="007D430B"/>
    <w:p w:rsidR="00A1637C" w:rsidRDefault="00A1637C" w:rsidP="00A1637C">
      <w:pPr>
        <w:pStyle w:val="SubheadingWASH"/>
      </w:pPr>
      <w:bookmarkStart w:id="23" w:name="_Toc463891943"/>
      <w:r>
        <w:t>Handwashing Practices</w:t>
      </w:r>
      <w:bookmarkEnd w:id="23"/>
      <w:r>
        <w:t xml:space="preserve"> </w:t>
      </w:r>
    </w:p>
    <w:p w:rsidR="000E2240" w:rsidRDefault="002C60D1" w:rsidP="007D430B">
      <w:r>
        <w:rPr>
          <w:noProof/>
          <w:lang w:val="en-US"/>
        </w:rPr>
        <w:drawing>
          <wp:anchor distT="0" distB="0" distL="114300" distR="114300" simplePos="0" relativeHeight="251754496" behindDoc="0" locked="0" layoutInCell="1" allowOverlap="1" wp14:anchorId="7CDE61A4" wp14:editId="7A54D1FA">
            <wp:simplePos x="0" y="0"/>
            <wp:positionH relativeFrom="margin">
              <wp:posOffset>3369310</wp:posOffset>
            </wp:positionH>
            <wp:positionV relativeFrom="paragraph">
              <wp:posOffset>624530</wp:posOffset>
            </wp:positionV>
            <wp:extent cx="3263265" cy="1955800"/>
            <wp:effectExtent l="0" t="0" r="13335" b="6350"/>
            <wp:wrapSquare wrapText="bothSides"/>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53472" behindDoc="0" locked="0" layoutInCell="1" allowOverlap="1" wp14:anchorId="0E02AF28" wp14:editId="18063B92">
            <wp:simplePos x="0" y="0"/>
            <wp:positionH relativeFrom="margin">
              <wp:posOffset>0</wp:posOffset>
            </wp:positionH>
            <wp:positionV relativeFrom="paragraph">
              <wp:posOffset>635635</wp:posOffset>
            </wp:positionV>
            <wp:extent cx="3263900" cy="1952625"/>
            <wp:effectExtent l="0" t="0" r="12700" b="9525"/>
            <wp:wrapSquare wrapText="bothSides"/>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margin">
              <wp14:pctWidth>0</wp14:pctWidth>
            </wp14:sizeRelH>
          </wp:anchor>
        </w:drawing>
      </w:r>
      <w:r w:rsidR="000E2240">
        <w:t xml:space="preserve">Comparing the PHG HH survey (2010) and the GVC HH survey (2015), handwashing practices have improved over considerably, notably at the critical moments before eating, and to a lesser degree before cooking. Both studies also showed high levels of handwashing after using the toilet, with an average of 99% in 2015. </w:t>
      </w:r>
    </w:p>
    <w:p w:rsidR="002C60D1" w:rsidRDefault="002C60D1" w:rsidP="002C60D1">
      <w:pPr>
        <w:spacing w:after="0"/>
        <w:rPr>
          <w:highlight w:val="yellow"/>
        </w:rPr>
      </w:pPr>
    </w:p>
    <w:p w:rsidR="0068128C" w:rsidRDefault="0068128C" w:rsidP="0068128C">
      <w:r w:rsidRPr="0068128C">
        <w:rPr>
          <w:highlight w:val="yellow"/>
        </w:rPr>
        <w:t>However, handwashing after cleaning babies remains relatively low at 32</w:t>
      </w:r>
      <w:r w:rsidRPr="002C60D1">
        <w:rPr>
          <w:highlight w:val="yellow"/>
        </w:rPr>
        <w:t>%, a finding in line with the OXFAM baseline study (2015) which found just 25% of women in targeted war-affected areas washed their hands after changing nappies.</w:t>
      </w:r>
      <w:r>
        <w:t xml:space="preserve"> It should also be noted </w:t>
      </w:r>
      <w:r>
        <w:lastRenderedPageBreak/>
        <w:t xml:space="preserve">that the OXFAM baseline study 2015 found that 28.6% of the population in the targeted war-affected communities did not wash their hands effectively when washing their hands (1 of 3 steps), and just 14.7% washed their hands using all 3 steps. </w:t>
      </w:r>
    </w:p>
    <w:p w:rsidR="0068128C" w:rsidRDefault="0068128C" w:rsidP="0068128C"/>
    <w:p w:rsidR="003263F4" w:rsidRDefault="003263F4" w:rsidP="003263F4">
      <w:pPr>
        <w:pStyle w:val="SubheadingWASH"/>
      </w:pPr>
      <w:bookmarkStart w:id="24" w:name="_Toc463891944"/>
      <w:r>
        <w:t>Cleaning and Hygiene Materials</w:t>
      </w:r>
      <w:bookmarkEnd w:id="24"/>
      <w:r>
        <w:t xml:space="preserve"> </w:t>
      </w:r>
    </w:p>
    <w:p w:rsidR="0068128C" w:rsidRDefault="00ED619F" w:rsidP="003263F4">
      <w:r>
        <w:rPr>
          <w:noProof/>
          <w:lang w:val="en-US"/>
        </w:rPr>
        <w:drawing>
          <wp:anchor distT="0" distB="0" distL="114300" distR="114300" simplePos="0" relativeHeight="251756544" behindDoc="0" locked="0" layoutInCell="1" allowOverlap="1" wp14:anchorId="6DD07E6E" wp14:editId="728F2863">
            <wp:simplePos x="0" y="0"/>
            <wp:positionH relativeFrom="margin">
              <wp:posOffset>3317358</wp:posOffset>
            </wp:positionH>
            <wp:positionV relativeFrom="paragraph">
              <wp:posOffset>862965</wp:posOffset>
            </wp:positionV>
            <wp:extent cx="3329940" cy="1552353"/>
            <wp:effectExtent l="0" t="0" r="3810" b="10160"/>
            <wp:wrapSquare wrapText="bothSides"/>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page">
              <wp14:pctWidth>0</wp14:pctWidth>
            </wp14:sizeRelH>
            <wp14:sizeRelV relativeFrom="page">
              <wp14:pctHeight>0</wp14:pctHeight>
            </wp14:sizeRelV>
          </wp:anchor>
        </w:drawing>
      </w:r>
      <w:r w:rsidR="003263F4">
        <w:t xml:space="preserve">The VPP also suggests that a large number of HHs could benefit from basic cleaning and hygiene items, a perception confirmed by the GVC-UNICEF HH survey where a significant proportion cite hygiene materials as a priority hygiene need. </w:t>
      </w:r>
      <w:r>
        <w:t>Nonetheless, t</w:t>
      </w:r>
      <w:r w:rsidR="003263F4">
        <w:t>aking toilet cleanliness as a proxy</w:t>
      </w:r>
      <w:r>
        <w:t>, t</w:t>
      </w:r>
      <w:r w:rsidR="0068128C">
        <w:t xml:space="preserve">he 2015 HH study found a significant proportion of toilets were found to be in a poor state of cleanliness, notably in WASH-underserved areas and amongst the poorest quintile. </w:t>
      </w:r>
    </w:p>
    <w:p w:rsidR="00637FD3" w:rsidRDefault="0068128C" w:rsidP="00ED619F">
      <w:pPr>
        <w:spacing w:after="0"/>
      </w:pPr>
      <w:r>
        <w:rPr>
          <w:noProof/>
          <w:lang w:val="en-US"/>
        </w:rPr>
        <w:drawing>
          <wp:anchor distT="0" distB="0" distL="114300" distR="114300" simplePos="0" relativeHeight="251757568" behindDoc="0" locked="0" layoutInCell="1" allowOverlap="1" wp14:anchorId="1046E0C3" wp14:editId="0A295443">
            <wp:simplePos x="0" y="0"/>
            <wp:positionH relativeFrom="margin">
              <wp:align>left</wp:align>
            </wp:positionH>
            <wp:positionV relativeFrom="paragraph">
              <wp:posOffset>17839</wp:posOffset>
            </wp:positionV>
            <wp:extent cx="3288665" cy="1540499"/>
            <wp:effectExtent l="0" t="0" r="6985" b="3175"/>
            <wp:wrapSquare wrapText="bothSides"/>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H relativeFrom="page">
              <wp14:pctWidth>0</wp14:pctWidth>
            </wp14:sizeRelH>
            <wp14:sizeRelV relativeFrom="page">
              <wp14:pctHeight>0</wp14:pctHeight>
            </wp14:sizeRelV>
          </wp:anchor>
        </w:drawing>
      </w:r>
    </w:p>
    <w:p w:rsidR="0068128C" w:rsidRDefault="00CB0E6D" w:rsidP="007D430B">
      <w:r>
        <w:rPr>
          <w:noProof/>
          <w:lang w:val="en-US"/>
        </w:rPr>
        <w:drawing>
          <wp:anchor distT="0" distB="0" distL="114300" distR="114300" simplePos="0" relativeHeight="251759616" behindDoc="0" locked="0" layoutInCell="1" allowOverlap="1" wp14:anchorId="5DF5E895" wp14:editId="3DE8882D">
            <wp:simplePos x="0" y="0"/>
            <wp:positionH relativeFrom="margin">
              <wp:align>right</wp:align>
            </wp:positionH>
            <wp:positionV relativeFrom="paragraph">
              <wp:posOffset>741547</wp:posOffset>
            </wp:positionV>
            <wp:extent cx="3218180" cy="1447165"/>
            <wp:effectExtent l="0" t="0" r="1270" b="635"/>
            <wp:wrapSquare wrapText="bothSides"/>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58592" behindDoc="0" locked="0" layoutInCell="1" allowOverlap="1" wp14:anchorId="25DD9FBB" wp14:editId="4245A026">
            <wp:simplePos x="0" y="0"/>
            <wp:positionH relativeFrom="margin">
              <wp:align>left</wp:align>
            </wp:positionH>
            <wp:positionV relativeFrom="paragraph">
              <wp:posOffset>720814</wp:posOffset>
            </wp:positionV>
            <wp:extent cx="3263900" cy="1469065"/>
            <wp:effectExtent l="0" t="0" r="12700" b="17145"/>
            <wp:wrapSquare wrapText="bothSides"/>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14:sizeRelH relativeFrom="margin">
              <wp14:pctWidth>0</wp14:pctWidth>
            </wp14:sizeRelH>
            <wp14:sizeRelV relativeFrom="margin">
              <wp14:pctHeight>0</wp14:pctHeight>
            </wp14:sizeRelV>
          </wp:anchor>
        </w:drawing>
      </w:r>
      <w:r w:rsidR="003263F4">
        <w:t xml:space="preserve">Building on </w:t>
      </w:r>
      <w:r w:rsidR="002C60D1">
        <w:t>the</w:t>
      </w:r>
      <w:r w:rsidR="003263F4">
        <w:t xml:space="preserve"> proxy of a poor state of toilet cleanliness, </w:t>
      </w:r>
      <w:r w:rsidR="00ED619F">
        <w:t>the following proportions of HHs also lacked soap</w:t>
      </w:r>
      <w:r w:rsidR="003263F4">
        <w:t xml:space="preserve">, and </w:t>
      </w:r>
      <w:r w:rsidR="00ED619F">
        <w:t xml:space="preserve">placed </w:t>
      </w:r>
      <w:r w:rsidR="003263F4">
        <w:t>a high priority on hygiene materials</w:t>
      </w:r>
      <w:r w:rsidR="002C60D1">
        <w:t xml:space="preserve">, suggesting a real need for hygiene material support and promotion, primarily amongst marginalised and poorer </w:t>
      </w:r>
      <w:r w:rsidR="00580F79">
        <w:t xml:space="preserve">households. </w:t>
      </w:r>
    </w:p>
    <w:p w:rsidR="00A1637C" w:rsidRDefault="00BC4FBE" w:rsidP="00A1637C">
      <w:pPr>
        <w:pStyle w:val="SubheadingWASH"/>
      </w:pPr>
      <w:bookmarkStart w:id="25" w:name="_Toc463891945"/>
      <w:r>
        <w:t>Menstrual Hygiene Materials</w:t>
      </w:r>
      <w:bookmarkEnd w:id="25"/>
      <w:r>
        <w:t xml:space="preserve"> </w:t>
      </w:r>
    </w:p>
    <w:p w:rsidR="00D378E2" w:rsidRDefault="00D378E2" w:rsidP="007D430B">
      <w:r>
        <w:t xml:space="preserve">With regards access to menstrual materials, </w:t>
      </w:r>
      <w:r w:rsidR="00B30D87">
        <w:t xml:space="preserve">similar </w:t>
      </w:r>
      <w:r>
        <w:t xml:space="preserve">trends can be seen across HH type and income quintile, as shown in the graphs below. </w:t>
      </w:r>
    </w:p>
    <w:p w:rsidR="00D378E2" w:rsidRDefault="00D378E2" w:rsidP="007D430B">
      <w:r>
        <w:rPr>
          <w:noProof/>
          <w:lang w:val="en-US"/>
        </w:rPr>
        <w:drawing>
          <wp:inline distT="0" distB="0" distL="0" distR="0" wp14:anchorId="0D7E0490" wp14:editId="7E126595">
            <wp:extent cx="3343275" cy="1760561"/>
            <wp:effectExtent l="0" t="0" r="9525" b="1143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Pr="00D378E2">
        <w:rPr>
          <w:noProof/>
          <w:lang w:val="en-US"/>
        </w:rPr>
        <w:t xml:space="preserve"> </w:t>
      </w:r>
      <w:r>
        <w:rPr>
          <w:noProof/>
          <w:lang w:val="en-US"/>
        </w:rPr>
        <w:drawing>
          <wp:inline distT="0" distB="0" distL="0" distR="0" wp14:anchorId="0F030B08" wp14:editId="003F64EB">
            <wp:extent cx="3248025" cy="1787856"/>
            <wp:effectExtent l="0" t="0" r="9525" b="3175"/>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D378E2" w:rsidRDefault="00D378E2" w:rsidP="007D430B"/>
    <w:p w:rsidR="00580F79" w:rsidRDefault="00580F79">
      <w:pPr>
        <w:rPr>
          <w:rFonts w:eastAsiaTheme="majorEastAsia" w:cs="Arial"/>
          <w:b/>
          <w:bCs/>
          <w:color w:val="006666"/>
          <w:sz w:val="28"/>
          <w:szCs w:val="28"/>
        </w:rPr>
      </w:pPr>
      <w:r>
        <w:br w:type="page"/>
      </w:r>
    </w:p>
    <w:p w:rsidR="004D1484" w:rsidRPr="0075548A" w:rsidRDefault="004D1484" w:rsidP="004D1484">
      <w:pPr>
        <w:pStyle w:val="heading1wash"/>
        <w:shd w:val="clear" w:color="auto" w:fill="98FFFC" w:themeFill="accent1" w:themeFillTint="40"/>
      </w:pPr>
      <w:bookmarkStart w:id="26" w:name="_Toc463891946"/>
      <w:r>
        <w:lastRenderedPageBreak/>
        <w:t>WASH &amp; GENDER?</w:t>
      </w:r>
      <w:bookmarkEnd w:id="26"/>
    </w:p>
    <w:p w:rsidR="004353F3" w:rsidRDefault="004353F3" w:rsidP="007D430B"/>
    <w:p w:rsidR="008E4842" w:rsidRDefault="008E4842" w:rsidP="007D430B"/>
    <w:p w:rsidR="008E4842" w:rsidRDefault="008E4842" w:rsidP="007D430B"/>
    <w:p w:rsidR="008E4842" w:rsidRDefault="008E4842" w:rsidP="007D430B"/>
    <w:p w:rsidR="008E4842" w:rsidRDefault="008E4842" w:rsidP="007D430B"/>
    <w:p w:rsidR="008E4842" w:rsidRDefault="008E4842" w:rsidP="007D430B"/>
    <w:p w:rsidR="008E4842" w:rsidRDefault="008E4842" w:rsidP="007D430B"/>
    <w:p w:rsidR="004F6D5D" w:rsidRPr="00A1637C" w:rsidRDefault="008E4842" w:rsidP="00AB1EE5">
      <w:pPr>
        <w:jc w:val="center"/>
        <w:rPr>
          <w:b/>
          <w:i/>
          <w:highlight w:val="yellow"/>
        </w:rPr>
      </w:pPr>
      <w:r>
        <w:rPr>
          <w:b/>
          <w:i/>
          <w:highlight w:val="yellow"/>
        </w:rPr>
        <w:t xml:space="preserve">+ </w:t>
      </w:r>
      <w:r w:rsidR="00A1637C" w:rsidRPr="00A1637C">
        <w:rPr>
          <w:b/>
          <w:i/>
          <w:highlight w:val="yellow"/>
        </w:rPr>
        <w:t xml:space="preserve">Anything from the </w:t>
      </w:r>
      <w:r w:rsidR="00BC4FBE" w:rsidRPr="00A1637C">
        <w:rPr>
          <w:b/>
          <w:i/>
          <w:highlight w:val="yellow"/>
        </w:rPr>
        <w:t>EMMA Report</w:t>
      </w:r>
      <w:r w:rsidR="00A1637C" w:rsidRPr="00A1637C">
        <w:rPr>
          <w:b/>
          <w:i/>
          <w:highlight w:val="yellow"/>
        </w:rPr>
        <w:t xml:space="preserve"> 2014?</w:t>
      </w:r>
    </w:p>
    <w:p w:rsidR="00E202A3" w:rsidRPr="00E202A3" w:rsidRDefault="00E202A3">
      <w:pPr>
        <w:rPr>
          <w:highlight w:val="yellow"/>
        </w:rPr>
      </w:pPr>
      <w:r>
        <w:rPr>
          <w:lang w:val="en-US"/>
        </w:rPr>
        <w:br w:type="page"/>
      </w:r>
    </w:p>
    <w:p w:rsidR="00E202A3" w:rsidRPr="00E2318A" w:rsidRDefault="00E202A3" w:rsidP="00E202A3">
      <w:pPr>
        <w:pStyle w:val="heading1wash"/>
        <w:shd w:val="clear" w:color="auto" w:fill="98FFFC" w:themeFill="accent1" w:themeFillTint="40"/>
        <w:rPr>
          <w:lang w:val="en-US"/>
        </w:rPr>
      </w:pPr>
      <w:bookmarkStart w:id="27" w:name="_Toc463891947"/>
      <w:r>
        <w:rPr>
          <w:lang w:val="en-US"/>
        </w:rPr>
        <w:lastRenderedPageBreak/>
        <w:t>WASH IN SHELTER</w:t>
      </w:r>
      <w:bookmarkEnd w:id="27"/>
    </w:p>
    <w:p w:rsidR="00123A26" w:rsidRDefault="0068514B" w:rsidP="00E202A3">
      <w:r>
        <w:rPr>
          <w:noProof/>
          <w:lang w:val="en-US"/>
        </w:rPr>
        <w:drawing>
          <wp:anchor distT="0" distB="0" distL="114300" distR="114300" simplePos="0" relativeHeight="251729920" behindDoc="0" locked="0" layoutInCell="1" allowOverlap="1" wp14:anchorId="1A4225A2" wp14:editId="76AA7C2F">
            <wp:simplePos x="0" y="0"/>
            <wp:positionH relativeFrom="margin">
              <wp:posOffset>3363595</wp:posOffset>
            </wp:positionH>
            <wp:positionV relativeFrom="paragraph">
              <wp:posOffset>1348105</wp:posOffset>
            </wp:positionV>
            <wp:extent cx="3274060" cy="1473835"/>
            <wp:effectExtent l="0" t="0" r="2540" b="12065"/>
            <wp:wrapSquare wrapText="bothSides"/>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28896" behindDoc="0" locked="0" layoutInCell="1" allowOverlap="1" wp14:anchorId="3FFA284D" wp14:editId="7AE8DB53">
            <wp:simplePos x="0" y="0"/>
            <wp:positionH relativeFrom="margin">
              <wp:posOffset>0</wp:posOffset>
            </wp:positionH>
            <wp:positionV relativeFrom="paragraph">
              <wp:posOffset>1348578</wp:posOffset>
            </wp:positionV>
            <wp:extent cx="3288665" cy="1498600"/>
            <wp:effectExtent l="0" t="0" r="6985" b="6350"/>
            <wp:wrapSquare wrapText="bothSides"/>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14:sizeRelH relativeFrom="page">
              <wp14:pctWidth>0</wp14:pctWidth>
            </wp14:sizeRelH>
            <wp14:sizeRelV relativeFrom="page">
              <wp14:pctHeight>0</wp14:pctHeight>
            </wp14:sizeRelV>
          </wp:anchor>
        </w:drawing>
      </w:r>
      <w:r w:rsidR="006C23F3">
        <w:t>The VPP suggests, and t</w:t>
      </w:r>
      <w:r w:rsidR="00E202A3">
        <w:t xml:space="preserve">he UNICEF-GVC HH </w:t>
      </w:r>
      <w:r w:rsidR="00A617FB">
        <w:t xml:space="preserve">Survey </w:t>
      </w:r>
      <w:r w:rsidR="006C23F3">
        <w:t xml:space="preserve">clearly </w:t>
      </w:r>
      <w:r w:rsidR="00A617FB">
        <w:t>indicates the non-existence or poor quality of key household WASH facilities</w:t>
      </w:r>
      <w:r w:rsidR="006C23F3">
        <w:t xml:space="preserve"> in a significant proportion of the population – in</w:t>
      </w:r>
      <w:r w:rsidR="00A617FB">
        <w:t xml:space="preserve">cluding hand-washing sinks, dish-washing sinks, showers, and washing machines. </w:t>
      </w:r>
      <w:r>
        <w:t xml:space="preserve">These findings are further supported by the ACF HH surveys (2016) in North Gaza and Gaza Governorates. </w:t>
      </w:r>
      <w:r w:rsidR="00123A26">
        <w:t xml:space="preserve">Clear trends can be seen with regards the HH type and the income quintile, and while the graphs presented below represent the findings related </w:t>
      </w:r>
      <w:r w:rsidR="006C23F3">
        <w:t xml:space="preserve">only </w:t>
      </w:r>
      <w:r w:rsidR="00123A26">
        <w:t>to the condition of showers, similar proportions can be seen across the HH WASH facilities. Together, these suggest that WASH under-serve</w:t>
      </w:r>
      <w:r w:rsidR="006C23F3">
        <w:t>d areas are significantly worse-off</w:t>
      </w:r>
      <w:r w:rsidR="00123A26">
        <w:t xml:space="preserve"> than war-affected and IDP HHs, which themselves are significantly worse-off than unaffected HHs. </w:t>
      </w:r>
    </w:p>
    <w:p w:rsidR="005F32B6" w:rsidRDefault="005F32B6" w:rsidP="005F32B6">
      <w:r>
        <w:rPr>
          <w:noProof/>
          <w:lang w:val="en-US"/>
        </w:rPr>
        <w:drawing>
          <wp:anchor distT="0" distB="0" distL="114300" distR="114300" simplePos="0" relativeHeight="251735040" behindDoc="0" locked="0" layoutInCell="1" allowOverlap="1" wp14:anchorId="302A779D" wp14:editId="683B95F4">
            <wp:simplePos x="0" y="0"/>
            <wp:positionH relativeFrom="margin">
              <wp:align>right</wp:align>
            </wp:positionH>
            <wp:positionV relativeFrom="paragraph">
              <wp:posOffset>1623704</wp:posOffset>
            </wp:positionV>
            <wp:extent cx="3330575" cy="1637665"/>
            <wp:effectExtent l="0" t="0" r="3175" b="635"/>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14:sizeRelH relativeFrom="page">
              <wp14:pctWidth>0</wp14:pctWidth>
            </wp14:sizeRelH>
            <wp14:sizeRelV relativeFrom="page">
              <wp14:pctHeight>0</wp14:pctHeight>
            </wp14:sizeRelV>
          </wp:anchor>
        </w:drawing>
      </w:r>
    </w:p>
    <w:p w:rsidR="005F32B6" w:rsidRDefault="005F32B6" w:rsidP="005F32B6">
      <w:r>
        <w:t xml:space="preserve">With regards toilets at a HH level, a significant proportion of the population in each Governorate was found to have insufficient toilets – based on the numbers of users, or shared facilities – as outlined in the graph. </w:t>
      </w:r>
    </w:p>
    <w:p w:rsidR="00A617FB" w:rsidRDefault="00A617FB" w:rsidP="00E202A3"/>
    <w:p w:rsidR="005C1B9F" w:rsidRDefault="005C1B9F" w:rsidP="00E71BD8"/>
    <w:p w:rsidR="00D378E2" w:rsidRDefault="00D378E2" w:rsidP="00E71BD8"/>
    <w:p w:rsidR="00D378E2" w:rsidRDefault="00D378E2" w:rsidP="00E71BD8"/>
    <w:p w:rsidR="00D378E2" w:rsidRPr="00E202A3" w:rsidRDefault="00D378E2" w:rsidP="00E71BD8"/>
    <w:p w:rsidR="00580F79" w:rsidRDefault="00580F79">
      <w:pPr>
        <w:rPr>
          <w:rFonts w:eastAsiaTheme="majorEastAsia" w:cs="Arial"/>
          <w:b/>
          <w:bCs/>
          <w:color w:val="006666"/>
          <w:sz w:val="28"/>
          <w:szCs w:val="28"/>
          <w:lang w:val="en-US"/>
        </w:rPr>
      </w:pPr>
      <w:r>
        <w:rPr>
          <w:lang w:val="en-US"/>
        </w:rPr>
        <w:br w:type="page"/>
      </w:r>
    </w:p>
    <w:p w:rsidR="007E6DF2" w:rsidRPr="00E2318A" w:rsidRDefault="00E51CFD" w:rsidP="007E6DF2">
      <w:pPr>
        <w:pStyle w:val="heading1wash"/>
        <w:shd w:val="clear" w:color="auto" w:fill="98FFFC" w:themeFill="accent1" w:themeFillTint="40"/>
        <w:rPr>
          <w:lang w:val="en-US"/>
        </w:rPr>
      </w:pPr>
      <w:bookmarkStart w:id="28" w:name="_Toc463891948"/>
      <w:r>
        <w:rPr>
          <w:lang w:val="en-US"/>
        </w:rPr>
        <w:lastRenderedPageBreak/>
        <w:t>WASH IN SCHOOLS</w:t>
      </w:r>
      <w:bookmarkEnd w:id="28"/>
    </w:p>
    <w:p w:rsidR="00835645" w:rsidRDefault="00AC4267" w:rsidP="007D430B">
      <w:pPr>
        <w:rPr>
          <w:lang w:val="en-US"/>
        </w:rPr>
      </w:pPr>
      <w:r>
        <w:rPr>
          <w:noProof/>
          <w:lang w:val="en-US"/>
        </w:rPr>
        <w:drawing>
          <wp:anchor distT="0" distB="0" distL="114300" distR="114300" simplePos="0" relativeHeight="251706368" behindDoc="0" locked="0" layoutInCell="1" allowOverlap="1" wp14:anchorId="6AB21B6A" wp14:editId="4DD2A6FF">
            <wp:simplePos x="0" y="0"/>
            <wp:positionH relativeFrom="margin">
              <wp:align>right</wp:align>
            </wp:positionH>
            <wp:positionV relativeFrom="paragraph">
              <wp:posOffset>16510</wp:posOffset>
            </wp:positionV>
            <wp:extent cx="3197860" cy="1460500"/>
            <wp:effectExtent l="0" t="0" r="2540" b="6350"/>
            <wp:wrapSquare wrapText="bothSides"/>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14:sizeRelH relativeFrom="page">
              <wp14:pctWidth>0</wp14:pctWidth>
            </wp14:sizeRelH>
            <wp14:sizeRelV relativeFrom="page">
              <wp14:pctHeight>0</wp14:pctHeight>
            </wp14:sizeRelV>
          </wp:anchor>
        </w:drawing>
      </w:r>
      <w:r w:rsidR="00835645">
        <w:rPr>
          <w:lang w:val="en-US"/>
        </w:rPr>
        <w:t xml:space="preserve">The PCBS Environmental Study in Educational Facilities (2015) suggests that </w:t>
      </w:r>
      <w:r w:rsidR="00DB5DD6">
        <w:rPr>
          <w:lang w:val="en-US"/>
        </w:rPr>
        <w:t>most schools (99%) have water storage tanks, and that these are generally cleaned at least annually (94%), although onl</w:t>
      </w:r>
      <w:r>
        <w:rPr>
          <w:lang w:val="en-US"/>
        </w:rPr>
        <w:t>y 18</w:t>
      </w:r>
      <w:r w:rsidR="00DB5DD6">
        <w:rPr>
          <w:lang w:val="en-US"/>
        </w:rPr>
        <w:t xml:space="preserve">% clean their tanks every quarter, and 6% clean their tanks less than once a year. </w:t>
      </w:r>
    </w:p>
    <w:p w:rsidR="008D0546" w:rsidRDefault="008871B5" w:rsidP="007D430B">
      <w:pPr>
        <w:rPr>
          <w:lang w:val="en-US"/>
        </w:rPr>
      </w:pPr>
      <w:r>
        <w:rPr>
          <w:noProof/>
          <w:lang w:val="en-US"/>
        </w:rPr>
        <w:drawing>
          <wp:anchor distT="0" distB="0" distL="114300" distR="114300" simplePos="0" relativeHeight="251707392" behindDoc="1" locked="0" layoutInCell="1" allowOverlap="1" wp14:anchorId="62D22E85" wp14:editId="344F9742">
            <wp:simplePos x="0" y="0"/>
            <wp:positionH relativeFrom="margin">
              <wp:align>left</wp:align>
            </wp:positionH>
            <wp:positionV relativeFrom="paragraph">
              <wp:posOffset>784225</wp:posOffset>
            </wp:positionV>
            <wp:extent cx="3204845" cy="1353185"/>
            <wp:effectExtent l="0" t="0" r="14605" b="18415"/>
            <wp:wrapTight wrapText="bothSides">
              <wp:wrapPolygon edited="0">
                <wp:start x="0" y="0"/>
                <wp:lineTo x="0" y="21590"/>
                <wp:lineTo x="21570" y="21590"/>
                <wp:lineTo x="21570" y="0"/>
                <wp:lineTo x="0" y="0"/>
              </wp:wrapPolygon>
            </wp:wrapTight>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14:sizeRelH relativeFrom="page">
              <wp14:pctWidth>0</wp14:pctWidth>
            </wp14:sizeRelH>
            <wp14:sizeRelV relativeFrom="page">
              <wp14:pctHeight>0</wp14:pctHeight>
            </wp14:sizeRelV>
          </wp:anchor>
        </w:drawing>
      </w:r>
      <w:r w:rsidR="00A54362">
        <w:rPr>
          <w:noProof/>
          <w:lang w:val="en-US"/>
        </w:rPr>
        <w:drawing>
          <wp:anchor distT="0" distB="0" distL="114300" distR="114300" simplePos="0" relativeHeight="251708416" behindDoc="0" locked="0" layoutInCell="1" allowOverlap="1" wp14:anchorId="3748245B" wp14:editId="65A775FF">
            <wp:simplePos x="0" y="0"/>
            <wp:positionH relativeFrom="margin">
              <wp:align>right</wp:align>
            </wp:positionH>
            <wp:positionV relativeFrom="paragraph">
              <wp:posOffset>795589</wp:posOffset>
            </wp:positionV>
            <wp:extent cx="3181985" cy="1365250"/>
            <wp:effectExtent l="0" t="0" r="18415" b="6350"/>
            <wp:wrapSquare wrapText="bothSides"/>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14:sizeRelH relativeFrom="page">
              <wp14:pctWidth>0</wp14:pctWidth>
            </wp14:sizeRelH>
            <wp14:sizeRelV relativeFrom="page">
              <wp14:pctHeight>0</wp14:pctHeight>
            </wp14:sizeRelV>
          </wp:anchor>
        </w:drawing>
      </w:r>
      <w:r w:rsidR="00A54362">
        <w:rPr>
          <w:lang w:val="en-US"/>
        </w:rPr>
        <w:t>The majority of schools are connected to the sewerage network and solid waste is removed several times a week. Nonetheless, these services reflect distributions of service levels for the broader population</w:t>
      </w:r>
      <w:r>
        <w:rPr>
          <w:lang w:val="en-US"/>
        </w:rPr>
        <w:t xml:space="preserve">, described in sections above. </w:t>
      </w:r>
    </w:p>
    <w:p w:rsidR="00AC4267" w:rsidRDefault="00AC4267" w:rsidP="007D430B">
      <w:pPr>
        <w:rPr>
          <w:lang w:val="en-US"/>
        </w:rPr>
      </w:pPr>
    </w:p>
    <w:p w:rsidR="00AC4267" w:rsidRDefault="00231A80" w:rsidP="007D430B">
      <w:pPr>
        <w:rPr>
          <w:lang w:val="en-US"/>
        </w:rPr>
      </w:pPr>
      <w:r>
        <w:rPr>
          <w:noProof/>
          <w:lang w:val="en-US"/>
        </w:rPr>
        <w:drawing>
          <wp:anchor distT="0" distB="0" distL="114300" distR="114300" simplePos="0" relativeHeight="251709440" behindDoc="0" locked="0" layoutInCell="1" allowOverlap="1" wp14:anchorId="52E49233" wp14:editId="25C9909C">
            <wp:simplePos x="0" y="0"/>
            <wp:positionH relativeFrom="margin">
              <wp:align>right</wp:align>
            </wp:positionH>
            <wp:positionV relativeFrom="paragraph">
              <wp:posOffset>12700</wp:posOffset>
            </wp:positionV>
            <wp:extent cx="3169285" cy="1151890"/>
            <wp:effectExtent l="0" t="0" r="12065" b="10160"/>
            <wp:wrapSquare wrapText="bothSides"/>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14:sizeRelH relativeFrom="page">
              <wp14:pctWidth>0</wp14:pctWidth>
            </wp14:sizeRelH>
            <wp14:sizeRelV relativeFrom="page">
              <wp14:pctHeight>0</wp14:pctHeight>
            </wp14:sizeRelV>
          </wp:anchor>
        </w:drawing>
      </w:r>
      <w:r w:rsidR="008871B5">
        <w:rPr>
          <w:lang w:val="en-US"/>
        </w:rPr>
        <w:t>It should be noted that a significant proportion of school facilities report exposure to smells from solid waste or sewerage water on an occasional to regular basis –</w:t>
      </w:r>
      <w:r w:rsidR="004F59C5">
        <w:rPr>
          <w:lang w:val="en-US"/>
        </w:rPr>
        <w:t xml:space="preserve"> reinforcing the situation indicated a</w:t>
      </w:r>
      <w:r w:rsidR="008871B5">
        <w:rPr>
          <w:lang w:val="en-US"/>
        </w:rPr>
        <w:t>bove with regards sewer</w:t>
      </w:r>
      <w:r w:rsidR="00EF205E">
        <w:rPr>
          <w:lang w:val="en-US"/>
        </w:rPr>
        <w:t>age</w:t>
      </w:r>
      <w:r w:rsidR="008871B5">
        <w:rPr>
          <w:lang w:val="en-US"/>
        </w:rPr>
        <w:t xml:space="preserve"> and solid waste piles at a HH level. </w:t>
      </w:r>
    </w:p>
    <w:p w:rsidR="00B207F0" w:rsidRDefault="00B207F0" w:rsidP="007D430B">
      <w:pPr>
        <w:rPr>
          <w:lang w:val="en-US"/>
        </w:rPr>
      </w:pPr>
    </w:p>
    <w:p w:rsidR="004403C6" w:rsidRDefault="004403C6" w:rsidP="007D430B">
      <w:pPr>
        <w:rPr>
          <w:lang w:val="en-US"/>
        </w:rPr>
      </w:pPr>
    </w:p>
    <w:p w:rsidR="004403C6" w:rsidRPr="004403C6" w:rsidRDefault="004403C6" w:rsidP="004403C6">
      <w:pPr>
        <w:jc w:val="center"/>
        <w:rPr>
          <w:b/>
          <w:i/>
          <w:lang w:val="en-US"/>
        </w:rPr>
      </w:pPr>
      <w:r w:rsidRPr="00C6379C">
        <w:rPr>
          <w:b/>
          <w:i/>
          <w:highlight w:val="yellow"/>
          <w:lang w:val="en-US"/>
        </w:rPr>
        <w:t>Insert / replace from the UNICEF KAP – waiting for raw data</w:t>
      </w:r>
    </w:p>
    <w:p w:rsidR="00835645" w:rsidRDefault="00835645" w:rsidP="007D430B">
      <w:pPr>
        <w:rPr>
          <w:lang w:val="en-US"/>
        </w:rPr>
      </w:pPr>
      <w:r>
        <w:rPr>
          <w:lang w:val="en-US"/>
        </w:rPr>
        <w:t>Furthermore, information from the MoE</w:t>
      </w:r>
      <w:r w:rsidR="00947BC7">
        <w:rPr>
          <w:lang w:val="en-US"/>
        </w:rPr>
        <w:t>HE</w:t>
      </w:r>
      <w:r>
        <w:rPr>
          <w:lang w:val="en-US"/>
        </w:rPr>
        <w:t xml:space="preserve"> in the Gaza Strip have identified at least 19 of 270 </w:t>
      </w:r>
      <w:r w:rsidR="004F59C5">
        <w:rPr>
          <w:lang w:val="en-US"/>
        </w:rPr>
        <w:t xml:space="preserve">PA </w:t>
      </w:r>
      <w:r>
        <w:rPr>
          <w:lang w:val="en-US"/>
        </w:rPr>
        <w:t>institutions are at ris</w:t>
      </w:r>
      <w:r w:rsidR="004F59C5">
        <w:rPr>
          <w:lang w:val="en-US"/>
        </w:rPr>
        <w:t>k of flooding, with some 34 schools requiring</w:t>
      </w:r>
      <w:r>
        <w:rPr>
          <w:lang w:val="en-US"/>
        </w:rPr>
        <w:t xml:space="preserve"> the construction of additional</w:t>
      </w:r>
      <w:r w:rsidR="004F59C5">
        <w:rPr>
          <w:lang w:val="en-US"/>
        </w:rPr>
        <w:t xml:space="preserve"> or new</w:t>
      </w:r>
      <w:r>
        <w:rPr>
          <w:lang w:val="en-US"/>
        </w:rPr>
        <w:t xml:space="preserve"> WASH facilities, while 118 require the rehabilitation of existing facilities. Furthermore, in 68 institutions, the school cafeterias require a rehabilitation of existing WASH facilities to ensure sanitary conditions. </w:t>
      </w:r>
    </w:p>
    <w:p w:rsidR="007E6DF2" w:rsidRDefault="00FE22B4" w:rsidP="007D430B">
      <w:pPr>
        <w:rPr>
          <w:lang w:val="en-US"/>
        </w:rPr>
      </w:pPr>
      <w:r>
        <w:rPr>
          <w:noProof/>
          <w:lang w:val="en-US"/>
        </w:rPr>
        <w:drawing>
          <wp:inline distT="0" distB="0" distL="0" distR="0" wp14:anchorId="5D818358" wp14:editId="77ED316E">
            <wp:extent cx="3289300" cy="1845170"/>
            <wp:effectExtent l="0" t="0" r="6350" b="317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r w:rsidR="0067116E">
        <w:rPr>
          <w:noProof/>
          <w:lang w:val="en-US"/>
        </w:rPr>
        <w:drawing>
          <wp:inline distT="0" distB="0" distL="0" distR="0" wp14:anchorId="53395463" wp14:editId="04F63F49">
            <wp:extent cx="3314700" cy="1828734"/>
            <wp:effectExtent l="0" t="0" r="0" b="63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E202A3" w:rsidRPr="00E202A3" w:rsidRDefault="00E202A3" w:rsidP="00E202A3"/>
    <w:p w:rsidR="00580F79" w:rsidRDefault="00580F79">
      <w:pPr>
        <w:rPr>
          <w:rFonts w:eastAsiaTheme="majorEastAsia" w:cs="Arial"/>
          <w:b/>
          <w:bCs/>
          <w:color w:val="006666"/>
          <w:sz w:val="28"/>
          <w:szCs w:val="28"/>
          <w:lang w:val="en-US"/>
        </w:rPr>
      </w:pPr>
      <w:r>
        <w:rPr>
          <w:lang w:val="en-US"/>
        </w:rPr>
        <w:br w:type="page"/>
      </w:r>
    </w:p>
    <w:p w:rsidR="00E202A3" w:rsidRPr="00E2318A" w:rsidRDefault="00E202A3" w:rsidP="00E202A3">
      <w:pPr>
        <w:pStyle w:val="heading1wash"/>
        <w:shd w:val="clear" w:color="auto" w:fill="98FFFC" w:themeFill="accent1" w:themeFillTint="40"/>
        <w:rPr>
          <w:lang w:val="en-US"/>
        </w:rPr>
      </w:pPr>
      <w:bookmarkStart w:id="29" w:name="_Toc463891949"/>
      <w:r>
        <w:rPr>
          <w:lang w:val="en-US"/>
        </w:rPr>
        <w:lastRenderedPageBreak/>
        <w:t>WASH IN HEALTH CENTERS</w:t>
      </w:r>
      <w:bookmarkEnd w:id="29"/>
    </w:p>
    <w:p w:rsidR="00E202A3" w:rsidRDefault="00E202A3" w:rsidP="00E202A3">
      <w:pPr>
        <w:rPr>
          <w:lang w:val="en-US"/>
        </w:rPr>
      </w:pPr>
      <w:r>
        <w:rPr>
          <w:lang w:val="en-US"/>
        </w:rPr>
        <w:t>The PCBS Environmental Study in Health Facilities (201</w:t>
      </w:r>
      <w:r w:rsidR="00BF72CC">
        <w:rPr>
          <w:lang w:val="en-US"/>
        </w:rPr>
        <w:t>4</w:t>
      </w:r>
      <w:r>
        <w:rPr>
          <w:lang w:val="en-US"/>
        </w:rPr>
        <w:t>) suggests that medical waste management remains a widespread weakness</w:t>
      </w:r>
    </w:p>
    <w:p w:rsidR="00E202A3" w:rsidRDefault="00E202A3" w:rsidP="00E202A3">
      <w:pPr>
        <w:rPr>
          <w:lang w:val="en-US"/>
        </w:rPr>
      </w:pPr>
      <w:r>
        <w:rPr>
          <w:noProof/>
          <w:lang w:val="en-US"/>
        </w:rPr>
        <w:drawing>
          <wp:inline distT="0" distB="0" distL="0" distR="0" wp14:anchorId="6FC2CDC7" wp14:editId="1F5D37DE">
            <wp:extent cx="2082800" cy="1415056"/>
            <wp:effectExtent l="0" t="0" r="12700" b="139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r>
        <w:rPr>
          <w:noProof/>
          <w:lang w:val="en-US"/>
        </w:rPr>
        <w:drawing>
          <wp:inline distT="0" distB="0" distL="0" distR="0" wp14:anchorId="5634FAC4" wp14:editId="4985171B">
            <wp:extent cx="2114550" cy="1415277"/>
            <wp:effectExtent l="0" t="0" r="0" b="139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r>
        <w:rPr>
          <w:noProof/>
          <w:lang w:val="en-US"/>
        </w:rPr>
        <w:drawing>
          <wp:inline distT="0" distB="0" distL="0" distR="0" wp14:anchorId="11D441DA" wp14:editId="16EEEFE9">
            <wp:extent cx="2219325" cy="1423532"/>
            <wp:effectExtent l="0" t="0" r="9525" b="571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C6379C" w:rsidRPr="00C6379C" w:rsidRDefault="00C6379C" w:rsidP="00C6379C">
      <w:pPr>
        <w:jc w:val="center"/>
        <w:rPr>
          <w:b/>
          <w:i/>
          <w:lang w:val="en-US"/>
        </w:rPr>
      </w:pPr>
      <w:r w:rsidRPr="00C6379C">
        <w:rPr>
          <w:b/>
          <w:i/>
          <w:highlight w:val="yellow"/>
          <w:lang w:val="en-US"/>
        </w:rPr>
        <w:t>Any other studies???</w:t>
      </w:r>
    </w:p>
    <w:p w:rsidR="00580F79" w:rsidRDefault="00580F79">
      <w:pPr>
        <w:rPr>
          <w:rFonts w:eastAsiaTheme="majorEastAsia" w:cs="Arial"/>
          <w:b/>
          <w:bCs/>
          <w:color w:val="006666"/>
          <w:sz w:val="28"/>
          <w:szCs w:val="28"/>
          <w:lang w:val="en-US"/>
        </w:rPr>
      </w:pPr>
      <w:r>
        <w:rPr>
          <w:lang w:val="en-US"/>
        </w:rPr>
        <w:br w:type="page"/>
      </w:r>
    </w:p>
    <w:p w:rsidR="00E202A3" w:rsidRPr="00164564" w:rsidRDefault="001963A8" w:rsidP="00E202A3">
      <w:pPr>
        <w:pStyle w:val="heading1wash"/>
        <w:shd w:val="clear" w:color="auto" w:fill="98FFFC" w:themeFill="accent1" w:themeFillTint="40"/>
        <w:rPr>
          <w:lang w:val="en-US"/>
        </w:rPr>
      </w:pPr>
      <w:bookmarkStart w:id="30" w:name="_Toc463891950"/>
      <w:r>
        <w:rPr>
          <w:lang w:val="en-US"/>
        </w:rPr>
        <w:lastRenderedPageBreak/>
        <w:t xml:space="preserve">PUBLIC </w:t>
      </w:r>
      <w:r w:rsidR="00E202A3" w:rsidRPr="00164564">
        <w:rPr>
          <w:lang w:val="en-US"/>
        </w:rPr>
        <w:t>HEALTH</w:t>
      </w:r>
      <w:bookmarkEnd w:id="30"/>
    </w:p>
    <w:p w:rsidR="00E202A3" w:rsidRDefault="00E202A3" w:rsidP="00E202A3">
      <w:pPr>
        <w:pStyle w:val="SubheadingWASH"/>
        <w:rPr>
          <w:lang w:val="en-US"/>
        </w:rPr>
      </w:pPr>
      <w:bookmarkStart w:id="31" w:name="_Toc463891951"/>
      <w:r>
        <w:rPr>
          <w:lang w:val="en-US"/>
        </w:rPr>
        <w:t>Diarrhoeal Incidence</w:t>
      </w:r>
      <w:bookmarkEnd w:id="31"/>
    </w:p>
    <w:p w:rsidR="00E202A3" w:rsidRDefault="00E202A3" w:rsidP="00E202A3">
      <w:pPr>
        <w:rPr>
          <w:lang w:val="en-US"/>
        </w:rPr>
      </w:pPr>
      <w:r>
        <w:rPr>
          <w:noProof/>
          <w:lang w:val="en-US"/>
        </w:rPr>
        <w:drawing>
          <wp:anchor distT="0" distB="0" distL="114300" distR="114300" simplePos="0" relativeHeight="251704320" behindDoc="0" locked="0" layoutInCell="1" allowOverlap="1" wp14:anchorId="0FB19773" wp14:editId="2B0BC77B">
            <wp:simplePos x="0" y="0"/>
            <wp:positionH relativeFrom="margin">
              <wp:align>right</wp:align>
            </wp:positionH>
            <wp:positionV relativeFrom="paragraph">
              <wp:posOffset>1270</wp:posOffset>
            </wp:positionV>
            <wp:extent cx="3378200" cy="1689100"/>
            <wp:effectExtent l="0" t="0" r="12700" b="635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14:sizeRelH relativeFrom="margin">
              <wp14:pctWidth>0</wp14:pctWidth>
            </wp14:sizeRelH>
            <wp14:sizeRelV relativeFrom="margin">
              <wp14:pctHeight>0</wp14:pctHeight>
            </wp14:sizeRelV>
          </wp:anchor>
        </w:drawing>
      </w:r>
      <w:r>
        <w:rPr>
          <w:lang w:val="en-US"/>
        </w:rPr>
        <w:t xml:space="preserve">Epidemiological statistics collected by the Ministry of Health from participating facilities indicates a steadily increasing trend in &lt;3 diarrheal incidence in the Gaza Strip, with a drop in 2014 explained by a decrease in service access followed by a spike and above monthly average rates following to the conflict. </w:t>
      </w:r>
    </w:p>
    <w:p w:rsidR="002C01EB" w:rsidRDefault="00E202A3" w:rsidP="00E202A3">
      <w:pPr>
        <w:rPr>
          <w:lang w:val="en-US"/>
        </w:rPr>
      </w:pPr>
      <w:r>
        <w:rPr>
          <w:lang w:val="en-US"/>
        </w:rPr>
        <w:t xml:space="preserve">Drawing on UNRWA epidemiological surveillance, a similar pattern can be seen around the conflict, and returning to a fluctuating but steady state over the past two years. </w:t>
      </w:r>
    </w:p>
    <w:p w:rsidR="00E202A3" w:rsidRDefault="002C01EB" w:rsidP="00E202A3">
      <w:pPr>
        <w:rPr>
          <w:lang w:val="en-US"/>
        </w:rPr>
      </w:pPr>
      <w:r w:rsidRPr="00C879A7">
        <w:rPr>
          <w:noProof/>
          <w:lang w:val="en-US"/>
        </w:rPr>
        <w:drawing>
          <wp:anchor distT="0" distB="0" distL="114300" distR="114300" simplePos="0" relativeHeight="251700224" behindDoc="0" locked="0" layoutInCell="1" allowOverlap="1" wp14:anchorId="1941CDC4" wp14:editId="0C7FA276">
            <wp:simplePos x="0" y="0"/>
            <wp:positionH relativeFrom="margin">
              <wp:posOffset>3235960</wp:posOffset>
            </wp:positionH>
            <wp:positionV relativeFrom="paragraph">
              <wp:posOffset>820420</wp:posOffset>
            </wp:positionV>
            <wp:extent cx="3391535" cy="1638300"/>
            <wp:effectExtent l="19050" t="19050" r="18415" b="190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391535" cy="1638300"/>
                    </a:xfrm>
                    <a:prstGeom prst="rect">
                      <a:avLst/>
                    </a:prstGeom>
                    <a:noFill/>
                    <a:ln>
                      <a:solidFill>
                        <a:srgbClr val="D9D9D9"/>
                      </a:solid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01248" behindDoc="0" locked="0" layoutInCell="1" allowOverlap="1" wp14:anchorId="416BEF85" wp14:editId="64D09516">
            <wp:simplePos x="0" y="0"/>
            <wp:positionH relativeFrom="margin">
              <wp:posOffset>0</wp:posOffset>
            </wp:positionH>
            <wp:positionV relativeFrom="paragraph">
              <wp:posOffset>853913</wp:posOffset>
            </wp:positionV>
            <wp:extent cx="2961005" cy="1549400"/>
            <wp:effectExtent l="0" t="0" r="10795" b="12700"/>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14:sizeRelH relativeFrom="margin">
              <wp14:pctWidth>0</wp14:pctWidth>
            </wp14:sizeRelH>
            <wp14:sizeRelV relativeFrom="margin">
              <wp14:pctHeight>0</wp14:pctHeight>
            </wp14:sizeRelV>
          </wp:anchor>
        </w:drawing>
      </w:r>
      <w:r>
        <w:rPr>
          <w:lang w:val="en-US"/>
        </w:rPr>
        <w:t>UNRWA surveillance data since 2007</w:t>
      </w:r>
      <w:r>
        <w:rPr>
          <w:rStyle w:val="FootnoteReference"/>
          <w:lang w:val="en-US"/>
        </w:rPr>
        <w:footnoteReference w:id="5"/>
      </w:r>
      <w:r>
        <w:rPr>
          <w:lang w:val="en-US"/>
        </w:rPr>
        <w:t xml:space="preserve"> also appear to support the trends seen in the MoH data, with an increase to a new plateau from 2007 – 2009, and has remained relatively constant since amongst the refugee population in Gaza. </w:t>
      </w:r>
      <w:r w:rsidR="00E202A3">
        <w:rPr>
          <w:lang w:val="en-US"/>
        </w:rPr>
        <w:t>This elevated yet relatively steady state is also indicated by UNICEF-supported representative household surveys conducted in 2010 and 2015</w:t>
      </w:r>
      <w:r>
        <w:rPr>
          <w:rStyle w:val="FootnoteReference"/>
          <w:lang w:val="en-US"/>
        </w:rPr>
        <w:footnoteReference w:id="6"/>
      </w:r>
      <w:r w:rsidR="00E202A3">
        <w:rPr>
          <w:lang w:val="en-US"/>
        </w:rPr>
        <w:t xml:space="preserve">. The apparent increase is not statistically significant overall, though with minor significant increases in Gaza and Rafah. </w:t>
      </w:r>
    </w:p>
    <w:p w:rsidR="00C6379C" w:rsidRDefault="00C6379C" w:rsidP="00E202A3">
      <w:pPr>
        <w:rPr>
          <w:lang w:val="en-US"/>
        </w:rPr>
      </w:pPr>
    </w:p>
    <w:p w:rsidR="00E202A3" w:rsidRDefault="00361FF2" w:rsidP="00E202A3">
      <w:pPr>
        <w:rPr>
          <w:lang w:val="en-US"/>
        </w:rPr>
      </w:pPr>
      <w:r>
        <w:rPr>
          <w:noProof/>
          <w:lang w:val="en-US"/>
        </w:rPr>
        <w:drawing>
          <wp:anchor distT="0" distB="0" distL="114300" distR="114300" simplePos="0" relativeHeight="251703296" behindDoc="0" locked="0" layoutInCell="1" allowOverlap="1" wp14:anchorId="5123FDD6" wp14:editId="6CCDE07E">
            <wp:simplePos x="0" y="0"/>
            <wp:positionH relativeFrom="margin">
              <wp:posOffset>2047875</wp:posOffset>
            </wp:positionH>
            <wp:positionV relativeFrom="paragraph">
              <wp:posOffset>1214755</wp:posOffset>
            </wp:positionV>
            <wp:extent cx="2237740" cy="1486535"/>
            <wp:effectExtent l="0" t="0" r="10160" b="18415"/>
            <wp:wrapSquare wrapText="bothSides"/>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05344" behindDoc="0" locked="0" layoutInCell="1" allowOverlap="1" wp14:anchorId="0D1D0D47" wp14:editId="2E930ABA">
            <wp:simplePos x="0" y="0"/>
            <wp:positionH relativeFrom="margin">
              <wp:posOffset>4264660</wp:posOffset>
            </wp:positionH>
            <wp:positionV relativeFrom="paragraph">
              <wp:posOffset>1226185</wp:posOffset>
            </wp:positionV>
            <wp:extent cx="2374265" cy="1472565"/>
            <wp:effectExtent l="0" t="0" r="6985" b="13335"/>
            <wp:wrapSquare wrapText="bothSides"/>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02272" behindDoc="0" locked="0" layoutInCell="1" allowOverlap="1" wp14:anchorId="037E7AA0" wp14:editId="2632FCE8">
            <wp:simplePos x="0" y="0"/>
            <wp:positionH relativeFrom="margin">
              <wp:posOffset>0</wp:posOffset>
            </wp:positionH>
            <wp:positionV relativeFrom="paragraph">
              <wp:posOffset>1195867</wp:posOffset>
            </wp:positionV>
            <wp:extent cx="2046605" cy="1514475"/>
            <wp:effectExtent l="0" t="0" r="10795" b="9525"/>
            <wp:wrapSquare wrapText="bothSides"/>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14:sizeRelH relativeFrom="margin">
              <wp14:pctWidth>0</wp14:pctWidth>
            </wp14:sizeRelH>
            <wp14:sizeRelV relativeFrom="margin">
              <wp14:pctHeight>0</wp14:pctHeight>
            </wp14:sizeRelV>
          </wp:anchor>
        </w:drawing>
      </w:r>
      <w:r w:rsidR="00E202A3">
        <w:rPr>
          <w:lang w:val="en-US"/>
        </w:rPr>
        <w:t>A case-control study in 4 major health centers across the Governorates identified urban residence, lower family income, complementary feeding and early weaning as major risk factors of diarrhea for under-fives. This conclusion is partially supported by the Household Survey (2015) findings as se</w:t>
      </w:r>
      <w:r w:rsidR="002C01EB">
        <w:rPr>
          <w:lang w:val="en-US"/>
        </w:rPr>
        <w:t>en below: while there is an apparent</w:t>
      </w:r>
      <w:r w:rsidR="00E202A3">
        <w:rPr>
          <w:lang w:val="en-US"/>
        </w:rPr>
        <w:t xml:space="preserve"> correspondence in income quintile, rural areas </w:t>
      </w:r>
      <w:r w:rsidR="00EF205E">
        <w:rPr>
          <w:lang w:val="en-US"/>
        </w:rPr>
        <w:t xml:space="preserve">were found to </w:t>
      </w:r>
      <w:r w:rsidR="00E202A3">
        <w:rPr>
          <w:lang w:val="en-US"/>
        </w:rPr>
        <w:t xml:space="preserve">have a higher incidence than urban areas and camps – perhaps suggesting a bias inherent to the provenance of case &amp; control in the urban health centers. </w:t>
      </w:r>
      <w:r>
        <w:rPr>
          <w:lang w:val="en-US"/>
        </w:rPr>
        <w:t xml:space="preserve">In addition, </w:t>
      </w:r>
      <w:r w:rsidR="002C01EB">
        <w:rPr>
          <w:lang w:val="en-US"/>
        </w:rPr>
        <w:t xml:space="preserve">the relative </w:t>
      </w:r>
      <w:r>
        <w:rPr>
          <w:lang w:val="en-US"/>
        </w:rPr>
        <w:t>risk for</w:t>
      </w:r>
      <w:r w:rsidR="002C01EB">
        <w:rPr>
          <w:lang w:val="en-US"/>
        </w:rPr>
        <w:t xml:space="preserve"> HHs displaced by the conflict, or living i</w:t>
      </w:r>
      <w:r w:rsidR="00E202A3">
        <w:rPr>
          <w:lang w:val="en-US"/>
        </w:rPr>
        <w:t xml:space="preserve">n underserved </w:t>
      </w:r>
      <w:r w:rsidR="002C01EB">
        <w:rPr>
          <w:lang w:val="en-US"/>
        </w:rPr>
        <w:t xml:space="preserve">or war-affected </w:t>
      </w:r>
      <w:r w:rsidR="00E202A3">
        <w:rPr>
          <w:lang w:val="en-US"/>
        </w:rPr>
        <w:t xml:space="preserve">areas, </w:t>
      </w:r>
      <w:r w:rsidR="002C01EB">
        <w:rPr>
          <w:lang w:val="en-US"/>
        </w:rPr>
        <w:t xml:space="preserve">is </w:t>
      </w:r>
      <w:r w:rsidR="00E202A3">
        <w:rPr>
          <w:lang w:val="en-US"/>
        </w:rPr>
        <w:t xml:space="preserve">greater risk than those HH </w:t>
      </w:r>
      <w:r>
        <w:rPr>
          <w:lang w:val="en-US"/>
        </w:rPr>
        <w:t xml:space="preserve">in </w:t>
      </w:r>
      <w:r w:rsidR="00E202A3">
        <w:rPr>
          <w:lang w:val="en-US"/>
        </w:rPr>
        <w:t>unaffected</w:t>
      </w:r>
      <w:r>
        <w:rPr>
          <w:lang w:val="en-US"/>
        </w:rPr>
        <w:t xml:space="preserve"> areas</w:t>
      </w:r>
      <w:r w:rsidR="00E202A3">
        <w:rPr>
          <w:lang w:val="en-US"/>
        </w:rPr>
        <w:t xml:space="preserve">. </w:t>
      </w:r>
    </w:p>
    <w:p w:rsidR="004353F3" w:rsidRDefault="00361FF2" w:rsidP="00E202A3">
      <w:pPr>
        <w:rPr>
          <w:lang w:val="en-US"/>
        </w:rPr>
      </w:pPr>
      <w:r w:rsidRPr="00361FF2">
        <w:rPr>
          <w:lang w:val="en-US"/>
        </w:rPr>
        <w:t xml:space="preserve"> </w:t>
      </w:r>
    </w:p>
    <w:p w:rsidR="00E202A3" w:rsidRDefault="00361FF2" w:rsidP="00E202A3">
      <w:pPr>
        <w:rPr>
          <w:lang w:val="en-US"/>
        </w:rPr>
      </w:pPr>
      <w:r>
        <w:rPr>
          <w:lang w:val="en-US"/>
        </w:rPr>
        <w:lastRenderedPageBreak/>
        <w:t>Finally, although the MoH data suggest a low incidence rate amongst &gt;5s, this may reflect behavioral trends amongst the population, as both UNRWA surveillance, and the UNICEF-GVC Household Survey (2015) indicate a comparable situation for the &gt;5 population.</w:t>
      </w:r>
    </w:p>
    <w:p w:rsidR="00361FF2" w:rsidRPr="00361FF2" w:rsidRDefault="00361FF2" w:rsidP="00361FF2">
      <w:pPr>
        <w:rPr>
          <w:highlight w:val="yellow"/>
          <w:lang w:val="en-US"/>
        </w:rPr>
      </w:pPr>
    </w:p>
    <w:p w:rsidR="00361FF2" w:rsidRDefault="00361FF2" w:rsidP="00361FF2">
      <w:pPr>
        <w:jc w:val="center"/>
        <w:rPr>
          <w:b/>
          <w:i/>
          <w:lang w:val="en-US"/>
        </w:rPr>
      </w:pPr>
      <w:r w:rsidRPr="00C6379C">
        <w:rPr>
          <w:b/>
          <w:i/>
          <w:highlight w:val="yellow"/>
          <w:lang w:val="en-US"/>
        </w:rPr>
        <w:t>Insert from the WASH/Health/Nut study</w:t>
      </w:r>
    </w:p>
    <w:p w:rsidR="00361FF2" w:rsidRPr="00C6379C" w:rsidRDefault="00861DBB" w:rsidP="00361FF2">
      <w:pPr>
        <w:jc w:val="center"/>
        <w:rPr>
          <w:b/>
          <w:i/>
          <w:lang w:val="en-US"/>
        </w:rPr>
      </w:pPr>
      <w:r>
        <w:rPr>
          <w:b/>
          <w:i/>
          <w:highlight w:val="yellow"/>
          <w:lang w:val="en-US"/>
        </w:rPr>
        <w:t>Pending raw health surveillance data</w:t>
      </w:r>
    </w:p>
    <w:p w:rsidR="00E202A3" w:rsidRDefault="00E202A3" w:rsidP="00E202A3">
      <w:pPr>
        <w:rPr>
          <w:lang w:val="en-US"/>
        </w:rPr>
      </w:pPr>
    </w:p>
    <w:p w:rsidR="00CD7C41" w:rsidRPr="00E2318A" w:rsidRDefault="00CD7C41" w:rsidP="007D430B">
      <w:pPr>
        <w:rPr>
          <w:lang w:val="en-US"/>
        </w:rPr>
      </w:pPr>
    </w:p>
    <w:p w:rsidR="00580F79" w:rsidRDefault="00580F79">
      <w:pPr>
        <w:rPr>
          <w:rFonts w:eastAsiaTheme="majorEastAsia" w:cs="Arial"/>
          <w:b/>
          <w:bCs/>
          <w:color w:val="006666"/>
          <w:sz w:val="28"/>
          <w:szCs w:val="28"/>
          <w:lang w:val="en-US"/>
        </w:rPr>
      </w:pPr>
      <w:r>
        <w:rPr>
          <w:lang w:val="en-US"/>
        </w:rPr>
        <w:br w:type="page"/>
      </w:r>
    </w:p>
    <w:p w:rsidR="001D39B4" w:rsidRPr="00E2318A" w:rsidRDefault="0016119C" w:rsidP="001D39B4">
      <w:pPr>
        <w:pStyle w:val="heading1wash"/>
        <w:shd w:val="clear" w:color="auto" w:fill="00CAC5" w:themeFill="accent1" w:themeFillTint="BF"/>
        <w:spacing w:before="120" w:after="120"/>
        <w:rPr>
          <w:lang w:val="en-US"/>
        </w:rPr>
      </w:pPr>
      <w:bookmarkStart w:id="32" w:name="_Toc463891952"/>
      <w:r w:rsidRPr="00E2318A">
        <w:rPr>
          <w:lang w:val="en-US"/>
        </w:rPr>
        <w:lastRenderedPageBreak/>
        <w:t>S</w:t>
      </w:r>
      <w:r w:rsidR="001D39B4" w:rsidRPr="00E2318A">
        <w:rPr>
          <w:lang w:val="en-US"/>
        </w:rPr>
        <w:t>ECTION I</w:t>
      </w:r>
      <w:r w:rsidR="007D430B" w:rsidRPr="00E2318A">
        <w:rPr>
          <w:lang w:val="en-US"/>
        </w:rPr>
        <w:t>I</w:t>
      </w:r>
      <w:r w:rsidR="0013539B" w:rsidRPr="00E2318A">
        <w:rPr>
          <w:lang w:val="en-US"/>
        </w:rPr>
        <w:t xml:space="preserve">I </w:t>
      </w:r>
      <w:r w:rsidR="00A91DC3">
        <w:rPr>
          <w:lang w:val="en-US"/>
        </w:rPr>
        <w:t>–</w:t>
      </w:r>
      <w:r w:rsidR="0013539B" w:rsidRPr="00E2318A">
        <w:rPr>
          <w:lang w:val="en-US"/>
        </w:rPr>
        <w:t xml:space="preserve"> </w:t>
      </w:r>
      <w:r w:rsidR="00A91DC3">
        <w:rPr>
          <w:lang w:val="en-US"/>
        </w:rPr>
        <w:t>CONTINGENCIES</w:t>
      </w:r>
      <w:bookmarkEnd w:id="32"/>
    </w:p>
    <w:p w:rsidR="00D65A1D" w:rsidRDefault="00D65A1D" w:rsidP="00D65A1D">
      <w:pPr>
        <w:pStyle w:val="heading1wash"/>
        <w:shd w:val="clear" w:color="auto" w:fill="98FFFC" w:themeFill="accent1" w:themeFillTint="40"/>
      </w:pPr>
      <w:bookmarkStart w:id="33" w:name="_Toc463891953"/>
      <w:r>
        <w:t>FLOOD PREVENTION &amp; MITIGATION</w:t>
      </w:r>
      <w:bookmarkEnd w:id="33"/>
    </w:p>
    <w:p w:rsidR="00D65A1D" w:rsidRDefault="007B49A4" w:rsidP="00D65A1D">
      <w:r>
        <w:t>WASH Cluster members provide support to municipal authorities in a variety of flood mitigation and prevention activities. This support typically includes:</w:t>
      </w:r>
    </w:p>
    <w:p w:rsidR="007B49A4" w:rsidRDefault="001A4F9B" w:rsidP="007B49A4">
      <w:pPr>
        <w:pStyle w:val="ListParagraph"/>
        <w:numPr>
          <w:ilvl w:val="0"/>
          <w:numId w:val="50"/>
        </w:numPr>
      </w:pPr>
      <w:r>
        <w:t xml:space="preserve">Hiring of heavy equipment, cash-for-work or other means of </w:t>
      </w:r>
      <w:r w:rsidR="007B49A4">
        <w:t xml:space="preserve">clearing of drainage channels before, after the first rains, and at another point during the rainy season. </w:t>
      </w:r>
    </w:p>
    <w:p w:rsidR="007B49A4" w:rsidRDefault="007B49A4" w:rsidP="007B49A4">
      <w:pPr>
        <w:pStyle w:val="ListParagraph"/>
        <w:numPr>
          <w:ilvl w:val="0"/>
          <w:numId w:val="50"/>
        </w:numPr>
      </w:pPr>
      <w:r>
        <w:t>Small-scale constructions / rehabilitations of drainage network</w:t>
      </w:r>
    </w:p>
    <w:p w:rsidR="00EF42AD" w:rsidRDefault="007B49A4" w:rsidP="007B49A4">
      <w:pPr>
        <w:pStyle w:val="ListParagraph"/>
        <w:numPr>
          <w:ilvl w:val="0"/>
          <w:numId w:val="50"/>
        </w:numPr>
      </w:pPr>
      <w:r>
        <w:t>Provision of fuel for dewatering pumps, generators</w:t>
      </w:r>
    </w:p>
    <w:p w:rsidR="007B49A4" w:rsidRDefault="00EF42AD" w:rsidP="007B49A4">
      <w:pPr>
        <w:pStyle w:val="ListParagraph"/>
        <w:numPr>
          <w:ilvl w:val="0"/>
          <w:numId w:val="50"/>
        </w:numPr>
      </w:pPr>
      <w:r>
        <w:t>Provision of fuel for mobile dewatering equipment and transport</w:t>
      </w:r>
    </w:p>
    <w:p w:rsidR="007B49A4" w:rsidRDefault="001A4F9B" w:rsidP="007B49A4">
      <w:pPr>
        <w:pStyle w:val="ListParagraph"/>
        <w:numPr>
          <w:ilvl w:val="0"/>
          <w:numId w:val="50"/>
        </w:numPr>
      </w:pPr>
      <w:r>
        <w:t xml:space="preserve">Engaging in contingency planning </w:t>
      </w:r>
      <w:r w:rsidR="00D31328">
        <w:t xml:space="preserve">and preparedness </w:t>
      </w:r>
      <w:r>
        <w:t>with municipal authorities</w:t>
      </w:r>
    </w:p>
    <w:tbl>
      <w:tblPr>
        <w:tblStyle w:val="TableGrid"/>
        <w:tblW w:w="5000" w:type="pct"/>
        <w:tblLook w:val="04A0" w:firstRow="1" w:lastRow="0" w:firstColumn="1" w:lastColumn="0" w:noHBand="0" w:noVBand="1"/>
      </w:tblPr>
      <w:tblGrid>
        <w:gridCol w:w="2614"/>
        <w:gridCol w:w="2614"/>
        <w:gridCol w:w="2614"/>
        <w:gridCol w:w="2614"/>
      </w:tblGrid>
      <w:tr w:rsidR="00D31328" w:rsidRPr="00A91DC3" w:rsidTr="00D31328">
        <w:tc>
          <w:tcPr>
            <w:tcW w:w="1250" w:type="pct"/>
            <w:shd w:val="clear" w:color="auto" w:fill="009999"/>
          </w:tcPr>
          <w:p w:rsidR="00D31328" w:rsidRPr="00A91DC3" w:rsidRDefault="00D31328" w:rsidP="001A4F9B">
            <w:pPr>
              <w:rPr>
                <w:b/>
                <w:color w:val="FFFFFF" w:themeColor="background1"/>
              </w:rPr>
            </w:pPr>
            <w:r w:rsidRPr="00A91DC3">
              <w:rPr>
                <w:b/>
                <w:color w:val="FFFFFF" w:themeColor="background1"/>
              </w:rPr>
              <w:t>Governorate</w:t>
            </w:r>
          </w:p>
        </w:tc>
        <w:tc>
          <w:tcPr>
            <w:tcW w:w="1250" w:type="pct"/>
            <w:shd w:val="clear" w:color="auto" w:fill="009999"/>
          </w:tcPr>
          <w:p w:rsidR="00D31328" w:rsidRPr="00A91DC3" w:rsidRDefault="00D31328" w:rsidP="001A4F9B">
            <w:pPr>
              <w:rPr>
                <w:b/>
                <w:color w:val="FFFFFF" w:themeColor="background1"/>
              </w:rPr>
            </w:pPr>
            <w:r w:rsidRPr="00A91DC3">
              <w:rPr>
                <w:b/>
                <w:color w:val="FFFFFF" w:themeColor="background1"/>
              </w:rPr>
              <w:t>People at risk</w:t>
            </w:r>
          </w:p>
        </w:tc>
        <w:tc>
          <w:tcPr>
            <w:tcW w:w="1250" w:type="pct"/>
            <w:shd w:val="clear" w:color="auto" w:fill="009999"/>
          </w:tcPr>
          <w:p w:rsidR="00D31328" w:rsidRPr="00A91DC3" w:rsidRDefault="00D31328" w:rsidP="001A4F9B">
            <w:pPr>
              <w:rPr>
                <w:b/>
                <w:color w:val="FFFFFF" w:themeColor="background1"/>
              </w:rPr>
            </w:pPr>
            <w:r w:rsidRPr="00A91DC3">
              <w:rPr>
                <w:b/>
                <w:color w:val="FFFFFF" w:themeColor="background1"/>
              </w:rPr>
              <w:t>Users of affected schools / hospitals</w:t>
            </w:r>
          </w:p>
        </w:tc>
        <w:tc>
          <w:tcPr>
            <w:tcW w:w="1250" w:type="pct"/>
            <w:shd w:val="clear" w:color="auto" w:fill="009999"/>
          </w:tcPr>
          <w:p w:rsidR="00D31328" w:rsidRPr="00A91DC3" w:rsidRDefault="00D31328" w:rsidP="001A4F9B">
            <w:pPr>
              <w:rPr>
                <w:b/>
                <w:color w:val="FFFFFF" w:themeColor="background1"/>
              </w:rPr>
            </w:pPr>
            <w:r w:rsidRPr="00A91DC3">
              <w:rPr>
                <w:b/>
                <w:color w:val="FFFFFF" w:themeColor="background1"/>
              </w:rPr>
              <w:t>Estimated budget</w:t>
            </w:r>
          </w:p>
        </w:tc>
      </w:tr>
      <w:tr w:rsidR="00D31328" w:rsidRPr="00A91DC3" w:rsidTr="00EA330D">
        <w:trPr>
          <w:trHeight w:val="20"/>
        </w:trPr>
        <w:tc>
          <w:tcPr>
            <w:tcW w:w="1250" w:type="pct"/>
            <w:vAlign w:val="bottom"/>
          </w:tcPr>
          <w:p w:rsidR="00D31328" w:rsidRPr="00A91DC3" w:rsidRDefault="00D31328" w:rsidP="00D31328">
            <w:pPr>
              <w:rPr>
                <w:color w:val="000000"/>
              </w:rPr>
            </w:pPr>
            <w:r w:rsidRPr="00A91DC3">
              <w:rPr>
                <w:color w:val="000000"/>
              </w:rPr>
              <w:t>North Gaza</w:t>
            </w:r>
          </w:p>
        </w:tc>
        <w:tc>
          <w:tcPr>
            <w:tcW w:w="1250" w:type="pct"/>
            <w:vAlign w:val="bottom"/>
          </w:tcPr>
          <w:p w:rsidR="00D31328" w:rsidRPr="00A91DC3" w:rsidRDefault="00D31328" w:rsidP="00D31328">
            <w:pPr>
              <w:rPr>
                <w:color w:val="000000"/>
              </w:rPr>
            </w:pPr>
            <w:r w:rsidRPr="00A91DC3">
              <w:rPr>
                <w:color w:val="000000"/>
              </w:rPr>
              <w:t xml:space="preserve">52,900 </w:t>
            </w:r>
          </w:p>
        </w:tc>
        <w:tc>
          <w:tcPr>
            <w:tcW w:w="1250" w:type="pct"/>
            <w:vAlign w:val="bottom"/>
          </w:tcPr>
          <w:p w:rsidR="00D31328" w:rsidRPr="00A91DC3" w:rsidRDefault="00D31328" w:rsidP="00D31328">
            <w:pPr>
              <w:rPr>
                <w:color w:val="000000"/>
              </w:rPr>
            </w:pPr>
            <w:r w:rsidRPr="00A91DC3">
              <w:rPr>
                <w:color w:val="000000"/>
              </w:rPr>
              <w:t xml:space="preserve">40,100 </w:t>
            </w:r>
          </w:p>
        </w:tc>
        <w:tc>
          <w:tcPr>
            <w:tcW w:w="1250" w:type="pct"/>
            <w:vAlign w:val="bottom"/>
          </w:tcPr>
          <w:p w:rsidR="00D31328" w:rsidRPr="00A91DC3" w:rsidRDefault="00D31328" w:rsidP="00D31328">
            <w:pPr>
              <w:rPr>
                <w:color w:val="000000"/>
              </w:rPr>
            </w:pPr>
            <w:r w:rsidRPr="00A91DC3">
              <w:rPr>
                <w:color w:val="000000"/>
              </w:rPr>
              <w:t xml:space="preserve">419,000 </w:t>
            </w:r>
          </w:p>
        </w:tc>
      </w:tr>
      <w:tr w:rsidR="00D31328" w:rsidRPr="00A91DC3" w:rsidTr="00EA330D">
        <w:trPr>
          <w:trHeight w:val="20"/>
        </w:trPr>
        <w:tc>
          <w:tcPr>
            <w:tcW w:w="1250" w:type="pct"/>
            <w:vAlign w:val="bottom"/>
          </w:tcPr>
          <w:p w:rsidR="00D31328" w:rsidRPr="00A91DC3" w:rsidRDefault="00D31328" w:rsidP="00D31328">
            <w:pPr>
              <w:rPr>
                <w:color w:val="000000"/>
              </w:rPr>
            </w:pPr>
            <w:r w:rsidRPr="00A91DC3">
              <w:rPr>
                <w:color w:val="000000"/>
              </w:rPr>
              <w:t>Gaza</w:t>
            </w:r>
          </w:p>
        </w:tc>
        <w:tc>
          <w:tcPr>
            <w:tcW w:w="1250" w:type="pct"/>
            <w:vAlign w:val="bottom"/>
          </w:tcPr>
          <w:p w:rsidR="00D31328" w:rsidRPr="00A91DC3" w:rsidRDefault="00D31328" w:rsidP="00D31328">
            <w:pPr>
              <w:rPr>
                <w:color w:val="000000"/>
              </w:rPr>
            </w:pPr>
            <w:r w:rsidRPr="00A91DC3">
              <w:rPr>
                <w:color w:val="000000"/>
              </w:rPr>
              <w:t xml:space="preserve">275,000 </w:t>
            </w:r>
          </w:p>
        </w:tc>
        <w:tc>
          <w:tcPr>
            <w:tcW w:w="1250" w:type="pct"/>
            <w:vAlign w:val="bottom"/>
          </w:tcPr>
          <w:p w:rsidR="00D31328" w:rsidRPr="00A91DC3" w:rsidRDefault="00D31328" w:rsidP="00D31328">
            <w:pPr>
              <w:rPr>
                <w:color w:val="000000"/>
              </w:rPr>
            </w:pPr>
            <w:r w:rsidRPr="00A91DC3">
              <w:rPr>
                <w:color w:val="000000"/>
              </w:rPr>
              <w:t xml:space="preserve">17,450 </w:t>
            </w:r>
          </w:p>
        </w:tc>
        <w:tc>
          <w:tcPr>
            <w:tcW w:w="1250" w:type="pct"/>
            <w:vAlign w:val="bottom"/>
          </w:tcPr>
          <w:p w:rsidR="00D31328" w:rsidRPr="00A91DC3" w:rsidRDefault="00D31328" w:rsidP="00D31328">
            <w:pPr>
              <w:rPr>
                <w:color w:val="000000"/>
              </w:rPr>
            </w:pPr>
            <w:r w:rsidRPr="00A91DC3">
              <w:rPr>
                <w:color w:val="000000"/>
              </w:rPr>
              <w:t xml:space="preserve">440,000 </w:t>
            </w:r>
          </w:p>
        </w:tc>
      </w:tr>
      <w:tr w:rsidR="00D31328" w:rsidRPr="00A91DC3" w:rsidTr="00EA330D">
        <w:trPr>
          <w:trHeight w:val="20"/>
        </w:trPr>
        <w:tc>
          <w:tcPr>
            <w:tcW w:w="1250" w:type="pct"/>
            <w:vAlign w:val="bottom"/>
          </w:tcPr>
          <w:p w:rsidR="00D31328" w:rsidRPr="00A91DC3" w:rsidRDefault="00D31328" w:rsidP="00D31328">
            <w:pPr>
              <w:rPr>
                <w:color w:val="000000"/>
              </w:rPr>
            </w:pPr>
            <w:r w:rsidRPr="00A91DC3">
              <w:rPr>
                <w:color w:val="000000"/>
              </w:rPr>
              <w:t>Middle Area</w:t>
            </w:r>
          </w:p>
        </w:tc>
        <w:tc>
          <w:tcPr>
            <w:tcW w:w="1250" w:type="pct"/>
            <w:vAlign w:val="bottom"/>
          </w:tcPr>
          <w:p w:rsidR="00D31328" w:rsidRPr="00A91DC3" w:rsidRDefault="00D31328" w:rsidP="00D31328">
            <w:pPr>
              <w:rPr>
                <w:color w:val="000000"/>
              </w:rPr>
            </w:pPr>
            <w:r w:rsidRPr="00A91DC3">
              <w:rPr>
                <w:color w:val="000000"/>
              </w:rPr>
              <w:t xml:space="preserve">10,500 </w:t>
            </w:r>
          </w:p>
        </w:tc>
        <w:tc>
          <w:tcPr>
            <w:tcW w:w="1250" w:type="pct"/>
            <w:vAlign w:val="bottom"/>
          </w:tcPr>
          <w:p w:rsidR="00D31328" w:rsidRPr="00A91DC3" w:rsidRDefault="00D31328" w:rsidP="00D31328">
            <w:pPr>
              <w:rPr>
                <w:color w:val="000000"/>
              </w:rPr>
            </w:pPr>
          </w:p>
        </w:tc>
        <w:tc>
          <w:tcPr>
            <w:tcW w:w="1250" w:type="pct"/>
            <w:vAlign w:val="bottom"/>
          </w:tcPr>
          <w:p w:rsidR="00D31328" w:rsidRPr="00A91DC3" w:rsidRDefault="00D31328" w:rsidP="00D31328">
            <w:pPr>
              <w:rPr>
                <w:color w:val="000000"/>
              </w:rPr>
            </w:pPr>
            <w:r w:rsidRPr="00A91DC3">
              <w:rPr>
                <w:color w:val="000000"/>
              </w:rPr>
              <w:t xml:space="preserve">25,800 </w:t>
            </w:r>
          </w:p>
        </w:tc>
      </w:tr>
      <w:tr w:rsidR="00D31328" w:rsidRPr="00A91DC3" w:rsidTr="00EA330D">
        <w:trPr>
          <w:trHeight w:val="20"/>
        </w:trPr>
        <w:tc>
          <w:tcPr>
            <w:tcW w:w="1250" w:type="pct"/>
            <w:vAlign w:val="bottom"/>
          </w:tcPr>
          <w:p w:rsidR="00D31328" w:rsidRPr="00A91DC3" w:rsidRDefault="00D31328" w:rsidP="00D31328">
            <w:pPr>
              <w:rPr>
                <w:color w:val="000000"/>
              </w:rPr>
            </w:pPr>
            <w:r w:rsidRPr="00A91DC3">
              <w:rPr>
                <w:color w:val="000000"/>
              </w:rPr>
              <w:t>Khan Yunis</w:t>
            </w:r>
          </w:p>
        </w:tc>
        <w:tc>
          <w:tcPr>
            <w:tcW w:w="1250" w:type="pct"/>
            <w:vAlign w:val="bottom"/>
          </w:tcPr>
          <w:p w:rsidR="00D31328" w:rsidRPr="00A91DC3" w:rsidRDefault="00D31328" w:rsidP="00D31328">
            <w:pPr>
              <w:rPr>
                <w:color w:val="000000"/>
              </w:rPr>
            </w:pPr>
            <w:r w:rsidRPr="00A91DC3">
              <w:rPr>
                <w:color w:val="000000"/>
              </w:rPr>
              <w:t xml:space="preserve">111,224 </w:t>
            </w:r>
          </w:p>
        </w:tc>
        <w:tc>
          <w:tcPr>
            <w:tcW w:w="1250" w:type="pct"/>
            <w:vAlign w:val="bottom"/>
          </w:tcPr>
          <w:p w:rsidR="00D31328" w:rsidRPr="00A91DC3" w:rsidRDefault="00D31328" w:rsidP="00D31328">
            <w:pPr>
              <w:rPr>
                <w:color w:val="000000"/>
              </w:rPr>
            </w:pPr>
            <w:r w:rsidRPr="00A91DC3">
              <w:rPr>
                <w:color w:val="000000"/>
              </w:rPr>
              <w:t xml:space="preserve">56,200 </w:t>
            </w:r>
          </w:p>
        </w:tc>
        <w:tc>
          <w:tcPr>
            <w:tcW w:w="1250" w:type="pct"/>
            <w:vAlign w:val="bottom"/>
          </w:tcPr>
          <w:p w:rsidR="00D31328" w:rsidRPr="00A91DC3" w:rsidRDefault="00D31328" w:rsidP="00D31328">
            <w:pPr>
              <w:rPr>
                <w:color w:val="000000"/>
              </w:rPr>
            </w:pPr>
            <w:r w:rsidRPr="00A91DC3">
              <w:rPr>
                <w:color w:val="000000"/>
              </w:rPr>
              <w:t xml:space="preserve">135,000 </w:t>
            </w:r>
          </w:p>
        </w:tc>
      </w:tr>
      <w:tr w:rsidR="00D31328" w:rsidRPr="00A91DC3" w:rsidTr="00EA330D">
        <w:trPr>
          <w:trHeight w:val="20"/>
        </w:trPr>
        <w:tc>
          <w:tcPr>
            <w:tcW w:w="1250" w:type="pct"/>
            <w:vAlign w:val="bottom"/>
          </w:tcPr>
          <w:p w:rsidR="00D31328" w:rsidRPr="00A91DC3" w:rsidRDefault="00D31328" w:rsidP="00D31328">
            <w:pPr>
              <w:rPr>
                <w:color w:val="000000"/>
              </w:rPr>
            </w:pPr>
            <w:r w:rsidRPr="00A91DC3">
              <w:rPr>
                <w:color w:val="000000"/>
              </w:rPr>
              <w:t>Rafah</w:t>
            </w:r>
          </w:p>
        </w:tc>
        <w:tc>
          <w:tcPr>
            <w:tcW w:w="1250" w:type="pct"/>
            <w:vAlign w:val="bottom"/>
          </w:tcPr>
          <w:p w:rsidR="00D31328" w:rsidRPr="00A91DC3" w:rsidRDefault="00D31328" w:rsidP="00D31328">
            <w:pPr>
              <w:rPr>
                <w:color w:val="000000"/>
              </w:rPr>
            </w:pPr>
            <w:r w:rsidRPr="00A91DC3">
              <w:rPr>
                <w:color w:val="000000"/>
              </w:rPr>
              <w:t xml:space="preserve">55,907 </w:t>
            </w:r>
          </w:p>
        </w:tc>
        <w:tc>
          <w:tcPr>
            <w:tcW w:w="1250" w:type="pct"/>
            <w:vAlign w:val="bottom"/>
          </w:tcPr>
          <w:p w:rsidR="00D31328" w:rsidRPr="00A91DC3" w:rsidRDefault="00D31328" w:rsidP="00D31328">
            <w:pPr>
              <w:rPr>
                <w:color w:val="000000"/>
              </w:rPr>
            </w:pPr>
            <w:r w:rsidRPr="00A91DC3">
              <w:rPr>
                <w:color w:val="000000"/>
              </w:rPr>
              <w:t xml:space="preserve">15,000 </w:t>
            </w:r>
          </w:p>
        </w:tc>
        <w:tc>
          <w:tcPr>
            <w:tcW w:w="1250" w:type="pct"/>
            <w:vAlign w:val="bottom"/>
          </w:tcPr>
          <w:p w:rsidR="00D31328" w:rsidRPr="00A91DC3" w:rsidRDefault="00D31328" w:rsidP="00D31328">
            <w:pPr>
              <w:rPr>
                <w:color w:val="000000"/>
              </w:rPr>
            </w:pPr>
            <w:r w:rsidRPr="00A91DC3">
              <w:rPr>
                <w:color w:val="000000"/>
              </w:rPr>
              <w:t xml:space="preserve">350,000 </w:t>
            </w:r>
          </w:p>
        </w:tc>
      </w:tr>
      <w:tr w:rsidR="00D31328" w:rsidRPr="00A91DC3" w:rsidTr="00EA330D">
        <w:trPr>
          <w:trHeight w:val="20"/>
        </w:trPr>
        <w:tc>
          <w:tcPr>
            <w:tcW w:w="1250" w:type="pct"/>
            <w:shd w:val="clear" w:color="auto" w:fill="33CCCC"/>
            <w:vAlign w:val="bottom"/>
          </w:tcPr>
          <w:p w:rsidR="00D31328" w:rsidRPr="00A91DC3" w:rsidRDefault="00D31328" w:rsidP="00D31328">
            <w:pPr>
              <w:rPr>
                <w:b/>
                <w:bCs/>
                <w:color w:val="000000"/>
              </w:rPr>
            </w:pPr>
            <w:r w:rsidRPr="00A91DC3">
              <w:rPr>
                <w:b/>
                <w:bCs/>
                <w:color w:val="000000"/>
              </w:rPr>
              <w:t>Total</w:t>
            </w:r>
          </w:p>
        </w:tc>
        <w:tc>
          <w:tcPr>
            <w:tcW w:w="1250" w:type="pct"/>
            <w:shd w:val="clear" w:color="auto" w:fill="33CCCC"/>
            <w:vAlign w:val="bottom"/>
          </w:tcPr>
          <w:p w:rsidR="00D31328" w:rsidRPr="00A91DC3" w:rsidRDefault="00D31328" w:rsidP="00D31328">
            <w:pPr>
              <w:rPr>
                <w:b/>
                <w:bCs/>
                <w:color w:val="000000"/>
              </w:rPr>
            </w:pPr>
            <w:r w:rsidRPr="00A91DC3">
              <w:rPr>
                <w:b/>
                <w:bCs/>
                <w:color w:val="000000"/>
              </w:rPr>
              <w:t xml:space="preserve">505,531 </w:t>
            </w:r>
          </w:p>
        </w:tc>
        <w:tc>
          <w:tcPr>
            <w:tcW w:w="1250" w:type="pct"/>
            <w:shd w:val="clear" w:color="auto" w:fill="33CCCC"/>
            <w:vAlign w:val="bottom"/>
          </w:tcPr>
          <w:p w:rsidR="00D31328" w:rsidRPr="00A91DC3" w:rsidRDefault="00D31328" w:rsidP="00D31328">
            <w:pPr>
              <w:rPr>
                <w:b/>
                <w:bCs/>
                <w:color w:val="000000"/>
              </w:rPr>
            </w:pPr>
            <w:r w:rsidRPr="00A91DC3">
              <w:rPr>
                <w:b/>
                <w:bCs/>
                <w:color w:val="000000"/>
              </w:rPr>
              <w:t xml:space="preserve">128,750 </w:t>
            </w:r>
          </w:p>
        </w:tc>
        <w:tc>
          <w:tcPr>
            <w:tcW w:w="1250" w:type="pct"/>
            <w:shd w:val="clear" w:color="auto" w:fill="33CCCC"/>
            <w:vAlign w:val="bottom"/>
          </w:tcPr>
          <w:p w:rsidR="00D31328" w:rsidRPr="00A91DC3" w:rsidRDefault="00D31328" w:rsidP="00D31328">
            <w:pPr>
              <w:rPr>
                <w:b/>
                <w:bCs/>
                <w:color w:val="000000"/>
              </w:rPr>
            </w:pPr>
            <w:r w:rsidRPr="00A91DC3">
              <w:rPr>
                <w:b/>
                <w:bCs/>
                <w:color w:val="000000"/>
              </w:rPr>
              <w:t xml:space="preserve">1,369,800 </w:t>
            </w:r>
          </w:p>
        </w:tc>
      </w:tr>
    </w:tbl>
    <w:p w:rsidR="001A4F9B" w:rsidRDefault="001A4F9B" w:rsidP="001A4F9B"/>
    <w:p w:rsidR="001D39B4" w:rsidRDefault="00FC160C" w:rsidP="001D39B4">
      <w:pPr>
        <w:pStyle w:val="heading1wash"/>
        <w:shd w:val="clear" w:color="auto" w:fill="98FFFC" w:themeFill="accent1" w:themeFillTint="40"/>
      </w:pPr>
      <w:bookmarkStart w:id="34" w:name="_Toc463891954"/>
      <w:r>
        <w:t>WASH C</w:t>
      </w:r>
      <w:r w:rsidR="004353F3">
        <w:t>ONTINGENCY PLANNING</w:t>
      </w:r>
      <w:bookmarkEnd w:id="34"/>
    </w:p>
    <w:p w:rsidR="008E4842" w:rsidRPr="008E4842" w:rsidRDefault="008E4842" w:rsidP="008E4842">
      <w:pPr>
        <w:spacing w:after="120" w:line="240" w:lineRule="auto"/>
        <w:jc w:val="both"/>
        <w:rPr>
          <w:bCs/>
          <w:szCs w:val="20"/>
        </w:rPr>
      </w:pPr>
      <w:r>
        <w:rPr>
          <w:bCs/>
          <w:szCs w:val="20"/>
        </w:rPr>
        <w:t xml:space="preserve">WASH Cluster contingency planning </w:t>
      </w:r>
      <w:r w:rsidR="00431600">
        <w:rPr>
          <w:bCs/>
          <w:szCs w:val="20"/>
        </w:rPr>
        <w:t>exercises conducted in 2016 assumes</w:t>
      </w:r>
      <w:r>
        <w:rPr>
          <w:bCs/>
          <w:szCs w:val="20"/>
        </w:rPr>
        <w:t xml:space="preserve"> the following potential impact of a new military incursion, drawing on past experiences:</w:t>
      </w:r>
    </w:p>
    <w:p w:rsidR="00846D82" w:rsidRDefault="00846D82" w:rsidP="00846D82">
      <w:pPr>
        <w:pStyle w:val="ListParagraph"/>
        <w:numPr>
          <w:ilvl w:val="0"/>
          <w:numId w:val="48"/>
        </w:numPr>
        <w:spacing w:after="120" w:line="240" w:lineRule="auto"/>
        <w:jc w:val="both"/>
        <w:rPr>
          <w:bCs/>
          <w:szCs w:val="20"/>
        </w:rPr>
      </w:pPr>
      <w:r w:rsidRPr="00A156F0">
        <w:rPr>
          <w:bCs/>
          <w:szCs w:val="20"/>
        </w:rPr>
        <w:t>An estimated 1,100,000</w:t>
      </w:r>
      <w:r>
        <w:rPr>
          <w:bCs/>
          <w:szCs w:val="20"/>
        </w:rPr>
        <w:t xml:space="preserve"> people affected and in need of assistance.</w:t>
      </w:r>
    </w:p>
    <w:p w:rsidR="00846D82" w:rsidRPr="00431600" w:rsidRDefault="00846D82" w:rsidP="007B49A4">
      <w:pPr>
        <w:pStyle w:val="ListParagraph"/>
        <w:numPr>
          <w:ilvl w:val="0"/>
          <w:numId w:val="48"/>
        </w:numPr>
        <w:spacing w:after="120" w:line="240" w:lineRule="auto"/>
        <w:jc w:val="both"/>
        <w:rPr>
          <w:bCs/>
          <w:szCs w:val="20"/>
        </w:rPr>
      </w:pPr>
      <w:r w:rsidRPr="00431600">
        <w:rPr>
          <w:bCs/>
          <w:szCs w:val="20"/>
        </w:rPr>
        <w:t>WASH services required for</w:t>
      </w:r>
      <w:r w:rsidR="00431600">
        <w:rPr>
          <w:bCs/>
          <w:szCs w:val="20"/>
        </w:rPr>
        <w:t xml:space="preserve"> 600,000 people including IDP’s – a</w:t>
      </w:r>
      <w:r w:rsidRPr="00431600">
        <w:rPr>
          <w:bCs/>
          <w:szCs w:val="20"/>
        </w:rPr>
        <w:t>pproximately 400,000 people will lack access to safe drinking water, 200,000 in need of basic sanitation and hygiene services.</w:t>
      </w:r>
    </w:p>
    <w:p w:rsidR="00431600" w:rsidRDefault="00431600" w:rsidP="00431600">
      <w:pPr>
        <w:pStyle w:val="ListParagraph"/>
        <w:numPr>
          <w:ilvl w:val="0"/>
          <w:numId w:val="48"/>
        </w:numPr>
        <w:spacing w:after="120" w:line="240" w:lineRule="auto"/>
        <w:jc w:val="both"/>
        <w:rPr>
          <w:bCs/>
          <w:szCs w:val="20"/>
        </w:rPr>
      </w:pPr>
      <w:r>
        <w:rPr>
          <w:bCs/>
          <w:szCs w:val="20"/>
        </w:rPr>
        <w:t>Extensive damages to the water systems, wastewater facilities, water points and storage.</w:t>
      </w:r>
    </w:p>
    <w:p w:rsidR="00846D82" w:rsidRDefault="00846D82" w:rsidP="00846D82">
      <w:pPr>
        <w:pStyle w:val="ListParagraph"/>
        <w:numPr>
          <w:ilvl w:val="0"/>
          <w:numId w:val="48"/>
        </w:numPr>
        <w:spacing w:after="120" w:line="240" w:lineRule="auto"/>
        <w:jc w:val="both"/>
        <w:rPr>
          <w:bCs/>
          <w:szCs w:val="20"/>
        </w:rPr>
      </w:pPr>
      <w:r>
        <w:rPr>
          <w:bCs/>
          <w:szCs w:val="20"/>
        </w:rPr>
        <w:t xml:space="preserve">An estimated 500 </w:t>
      </w:r>
      <w:r w:rsidR="00431600">
        <w:rPr>
          <w:bCs/>
          <w:szCs w:val="20"/>
        </w:rPr>
        <w:t xml:space="preserve">key </w:t>
      </w:r>
      <w:r>
        <w:rPr>
          <w:bCs/>
          <w:szCs w:val="20"/>
        </w:rPr>
        <w:t>water and sanitation facilities in need of repairs.</w:t>
      </w:r>
    </w:p>
    <w:p w:rsidR="00846D82" w:rsidRDefault="00846D82" w:rsidP="00846D82">
      <w:pPr>
        <w:pStyle w:val="ListParagraph"/>
        <w:numPr>
          <w:ilvl w:val="0"/>
          <w:numId w:val="48"/>
        </w:numPr>
        <w:spacing w:after="120" w:line="240" w:lineRule="auto"/>
        <w:jc w:val="both"/>
        <w:rPr>
          <w:bCs/>
          <w:szCs w:val="20"/>
        </w:rPr>
      </w:pPr>
      <w:r>
        <w:rPr>
          <w:bCs/>
          <w:szCs w:val="20"/>
        </w:rPr>
        <w:t>Additional electricity disruptions resulting in greater need for fuel to operate WASH facilities.</w:t>
      </w:r>
    </w:p>
    <w:p w:rsidR="00846D82" w:rsidRPr="00A156F0" w:rsidRDefault="00846D82" w:rsidP="00846D82">
      <w:pPr>
        <w:pStyle w:val="ListParagraph"/>
        <w:numPr>
          <w:ilvl w:val="0"/>
          <w:numId w:val="48"/>
        </w:numPr>
        <w:spacing w:after="120" w:line="240" w:lineRule="auto"/>
        <w:jc w:val="both"/>
        <w:rPr>
          <w:bCs/>
          <w:szCs w:val="20"/>
        </w:rPr>
      </w:pPr>
      <w:r>
        <w:rPr>
          <w:bCs/>
          <w:szCs w:val="20"/>
        </w:rPr>
        <w:t xml:space="preserve">Restricted and unsafe movement for WASH staff conducting manual operation and repairs n WASH facilities. </w:t>
      </w:r>
    </w:p>
    <w:p w:rsidR="00846D82" w:rsidRPr="00431600" w:rsidRDefault="00431600" w:rsidP="00431600">
      <w:r>
        <w:t xml:space="preserve">WASH Cluster members collectively identified the </w:t>
      </w:r>
      <w:r w:rsidR="007D150E">
        <w:t xml:space="preserve">following materials required to complement existing contingency stocks amongst cluster members to </w:t>
      </w:r>
      <w:r>
        <w:t xml:space="preserve">be able to ensure an immediate </w:t>
      </w:r>
      <w:r w:rsidR="007D150E">
        <w:t>respon</w:t>
      </w:r>
      <w:r>
        <w:t>se</w:t>
      </w:r>
      <w:r w:rsidR="007D150E">
        <w:t xml:space="preserve"> to an escalation of armed hostilities in the Gaza Strip.</w:t>
      </w:r>
      <w:r w:rsidR="00846D82">
        <w:t xml:space="preserve"> </w:t>
      </w:r>
      <w:r w:rsidR="004F59C5">
        <w:t xml:space="preserve">The prepositioning of stocks within the Gaza Strip is essential given difficulties importing supplies during a conflict, and potential backlogs immediately following the conflict. </w:t>
      </w:r>
    </w:p>
    <w:tbl>
      <w:tblPr>
        <w:tblStyle w:val="TableGrid"/>
        <w:tblW w:w="5000" w:type="pct"/>
        <w:tblLook w:val="04A0" w:firstRow="1" w:lastRow="0" w:firstColumn="1" w:lastColumn="0" w:noHBand="0" w:noVBand="1"/>
      </w:tblPr>
      <w:tblGrid>
        <w:gridCol w:w="1620"/>
        <w:gridCol w:w="4134"/>
        <w:gridCol w:w="1297"/>
        <w:gridCol w:w="1136"/>
        <w:gridCol w:w="2269"/>
      </w:tblGrid>
      <w:tr w:rsidR="00846D82" w:rsidRPr="00A91DC3" w:rsidTr="00A91DC3">
        <w:trPr>
          <w:trHeight w:val="125"/>
        </w:trPr>
        <w:tc>
          <w:tcPr>
            <w:tcW w:w="775" w:type="pct"/>
            <w:shd w:val="clear" w:color="auto" w:fill="009999"/>
            <w:vAlign w:val="center"/>
          </w:tcPr>
          <w:p w:rsidR="00846D82" w:rsidRPr="00A91DC3" w:rsidRDefault="00846D82" w:rsidP="003F2D46">
            <w:pPr>
              <w:jc w:val="center"/>
              <w:rPr>
                <w:rFonts w:cs="Arial"/>
                <w:b/>
                <w:color w:val="FFFFFF" w:themeColor="background1"/>
                <w:lang w:val="es-US"/>
              </w:rPr>
            </w:pPr>
            <w:r w:rsidRPr="00A91DC3">
              <w:rPr>
                <w:rFonts w:cs="Arial"/>
                <w:b/>
                <w:color w:val="FFFFFF" w:themeColor="background1"/>
                <w:lang w:val="es-US"/>
              </w:rPr>
              <w:t>ORGANIZATION</w:t>
            </w:r>
          </w:p>
        </w:tc>
        <w:tc>
          <w:tcPr>
            <w:tcW w:w="1977" w:type="pct"/>
            <w:shd w:val="clear" w:color="auto" w:fill="009999"/>
            <w:vAlign w:val="center"/>
          </w:tcPr>
          <w:p w:rsidR="00846D82" w:rsidRPr="00A91DC3" w:rsidRDefault="00846D82" w:rsidP="003F2D46">
            <w:pPr>
              <w:jc w:val="center"/>
              <w:rPr>
                <w:rFonts w:cs="Arial"/>
                <w:b/>
                <w:color w:val="FFFFFF" w:themeColor="background1"/>
                <w:lang w:val="es-US"/>
              </w:rPr>
            </w:pPr>
            <w:r w:rsidRPr="00A91DC3">
              <w:rPr>
                <w:rFonts w:cs="Arial"/>
                <w:b/>
                <w:color w:val="FFFFFF" w:themeColor="background1"/>
                <w:lang w:val="es-US"/>
              </w:rPr>
              <w:t>MATERIALS</w:t>
            </w:r>
          </w:p>
        </w:tc>
        <w:tc>
          <w:tcPr>
            <w:tcW w:w="620" w:type="pct"/>
            <w:shd w:val="clear" w:color="auto" w:fill="009999"/>
            <w:vAlign w:val="center"/>
          </w:tcPr>
          <w:p w:rsidR="00846D82" w:rsidRPr="00A91DC3" w:rsidRDefault="00846D82" w:rsidP="003F2D46">
            <w:pPr>
              <w:jc w:val="center"/>
              <w:rPr>
                <w:rFonts w:cs="Arial"/>
                <w:b/>
                <w:color w:val="FFFFFF" w:themeColor="background1"/>
                <w:lang w:val="es-US"/>
              </w:rPr>
            </w:pPr>
            <w:r w:rsidRPr="00A91DC3">
              <w:rPr>
                <w:rFonts w:cs="Arial"/>
                <w:b/>
                <w:color w:val="FFFFFF" w:themeColor="background1"/>
                <w:lang w:val="es-US"/>
              </w:rPr>
              <w:t>QUANTITY</w:t>
            </w:r>
          </w:p>
        </w:tc>
        <w:tc>
          <w:tcPr>
            <w:tcW w:w="543" w:type="pct"/>
            <w:shd w:val="clear" w:color="auto" w:fill="009999"/>
          </w:tcPr>
          <w:p w:rsidR="00846D82" w:rsidRPr="00A91DC3" w:rsidRDefault="00846D82" w:rsidP="003F2D46">
            <w:pPr>
              <w:jc w:val="center"/>
              <w:rPr>
                <w:rFonts w:cs="Arial"/>
                <w:b/>
                <w:color w:val="FFFFFF" w:themeColor="background1"/>
                <w:lang w:val="es-US"/>
              </w:rPr>
            </w:pPr>
            <w:r w:rsidRPr="00A91DC3">
              <w:rPr>
                <w:rFonts w:cs="Arial"/>
                <w:b/>
                <w:bCs/>
                <w:color w:val="FFFFFF" w:themeColor="background1"/>
              </w:rPr>
              <w:t>BUDGET</w:t>
            </w:r>
          </w:p>
        </w:tc>
        <w:tc>
          <w:tcPr>
            <w:tcW w:w="1085" w:type="pct"/>
            <w:shd w:val="clear" w:color="auto" w:fill="009999"/>
            <w:vAlign w:val="center"/>
          </w:tcPr>
          <w:p w:rsidR="00846D82" w:rsidRPr="00A91DC3" w:rsidRDefault="00846D82" w:rsidP="003F2D46">
            <w:pPr>
              <w:jc w:val="center"/>
              <w:rPr>
                <w:rFonts w:cs="Arial"/>
                <w:b/>
                <w:color w:val="FFFFFF" w:themeColor="background1"/>
                <w:lang w:val="es-US"/>
              </w:rPr>
            </w:pPr>
            <w:r w:rsidRPr="00A91DC3">
              <w:rPr>
                <w:rFonts w:cs="Arial"/>
                <w:b/>
                <w:color w:val="FFFFFF" w:themeColor="background1"/>
                <w:lang w:val="es-US"/>
              </w:rPr>
              <w:t>LOCATION</w:t>
            </w:r>
            <w:r w:rsidR="00431600" w:rsidRPr="00A91DC3">
              <w:rPr>
                <w:rFonts w:cs="Arial"/>
                <w:b/>
                <w:color w:val="FFFFFF" w:themeColor="background1"/>
                <w:lang w:val="es-US"/>
              </w:rPr>
              <w:t>S</w:t>
            </w:r>
          </w:p>
        </w:tc>
      </w:tr>
      <w:tr w:rsidR="00846D82" w:rsidRPr="00A91DC3" w:rsidTr="00A91DC3">
        <w:trPr>
          <w:trHeight w:val="368"/>
        </w:trPr>
        <w:tc>
          <w:tcPr>
            <w:tcW w:w="775" w:type="pct"/>
            <w:vMerge w:val="restart"/>
            <w:vAlign w:val="center"/>
          </w:tcPr>
          <w:p w:rsidR="00846D82" w:rsidRPr="00A91DC3" w:rsidRDefault="00846D82" w:rsidP="003F2D46">
            <w:pPr>
              <w:rPr>
                <w:rFonts w:cs="Arial"/>
              </w:rPr>
            </w:pPr>
            <w:r w:rsidRPr="00A91DC3">
              <w:rPr>
                <w:rFonts w:cs="Arial"/>
                <w:b/>
                <w:bCs/>
              </w:rPr>
              <w:t xml:space="preserve">CMWU, PWA, UNICEF, ACF, GVC, Save the Children, OXFAM GB World Vision, UNRWA, PHG, </w:t>
            </w:r>
            <w:r w:rsidRPr="00A91DC3">
              <w:rPr>
                <w:rFonts w:cs="Arial"/>
                <w:b/>
                <w:bCs/>
              </w:rPr>
              <w:lastRenderedPageBreak/>
              <w:t>other WASH Cluster Partners</w:t>
            </w:r>
          </w:p>
        </w:tc>
        <w:tc>
          <w:tcPr>
            <w:tcW w:w="1977" w:type="pct"/>
            <w:vAlign w:val="center"/>
          </w:tcPr>
          <w:p w:rsidR="00846D82" w:rsidRPr="00A91DC3" w:rsidRDefault="00846D82" w:rsidP="003F2D46">
            <w:pPr>
              <w:rPr>
                <w:rFonts w:cs="Arial"/>
              </w:rPr>
            </w:pPr>
            <w:r w:rsidRPr="00A91DC3">
              <w:rPr>
                <w:rFonts w:cs="Arial"/>
                <w:bCs/>
              </w:rPr>
              <w:lastRenderedPageBreak/>
              <w:t>Collapsible water tanks 5 m</w:t>
            </w:r>
            <w:r w:rsidRPr="00A91DC3">
              <w:rPr>
                <w:rFonts w:cs="Arial"/>
                <w:bCs/>
                <w:vertAlign w:val="superscript"/>
              </w:rPr>
              <w:t>3</w:t>
            </w:r>
            <w:r w:rsidRPr="00A91DC3">
              <w:rPr>
                <w:rFonts w:cs="Arial"/>
                <w:bCs/>
              </w:rPr>
              <w:t xml:space="preserve"> and 10 m</w:t>
            </w:r>
            <w:r w:rsidRPr="00A91DC3">
              <w:rPr>
                <w:rFonts w:cs="Arial"/>
                <w:bCs/>
                <w:vertAlign w:val="superscript"/>
              </w:rPr>
              <w:t>3</w:t>
            </w:r>
          </w:p>
        </w:tc>
        <w:tc>
          <w:tcPr>
            <w:tcW w:w="620" w:type="pct"/>
            <w:vAlign w:val="center"/>
          </w:tcPr>
          <w:p w:rsidR="00846D82" w:rsidRPr="00A91DC3" w:rsidRDefault="00A65AA0" w:rsidP="00A65AA0">
            <w:pPr>
              <w:rPr>
                <w:rFonts w:cs="Arial"/>
              </w:rPr>
            </w:pPr>
            <w:r>
              <w:rPr>
                <w:rFonts w:cs="Arial"/>
                <w:bCs/>
              </w:rPr>
              <w:t>3</w:t>
            </w:r>
            <w:r w:rsidR="00846D82" w:rsidRPr="00A91DC3">
              <w:rPr>
                <w:rFonts w:cs="Arial"/>
                <w:bCs/>
              </w:rPr>
              <w:t xml:space="preserve"> of each</w:t>
            </w:r>
          </w:p>
        </w:tc>
        <w:tc>
          <w:tcPr>
            <w:tcW w:w="543" w:type="pct"/>
            <w:vAlign w:val="center"/>
          </w:tcPr>
          <w:p w:rsidR="00846D82" w:rsidRPr="00A91DC3" w:rsidRDefault="00846D82" w:rsidP="00A65AA0">
            <w:pPr>
              <w:rPr>
                <w:rFonts w:cs="Arial"/>
                <w:bCs/>
              </w:rPr>
            </w:pPr>
            <w:r w:rsidRPr="00A91DC3">
              <w:rPr>
                <w:rFonts w:cs="Arial"/>
                <w:bCs/>
              </w:rPr>
              <w:t>$9,100</w:t>
            </w:r>
          </w:p>
        </w:tc>
        <w:tc>
          <w:tcPr>
            <w:tcW w:w="1085" w:type="pct"/>
            <w:vMerge w:val="restart"/>
            <w:vAlign w:val="center"/>
          </w:tcPr>
          <w:p w:rsidR="00846D82" w:rsidRPr="00A91DC3" w:rsidRDefault="00846D82" w:rsidP="003F2D46">
            <w:pPr>
              <w:rPr>
                <w:rFonts w:cs="Arial"/>
                <w:b/>
                <w:bCs/>
              </w:rPr>
            </w:pPr>
            <w:r w:rsidRPr="00A91DC3">
              <w:rPr>
                <w:rFonts w:cs="Arial"/>
                <w:b/>
                <w:bCs/>
              </w:rPr>
              <w:t>Gaza City, Beit Hanoun, Beit Lahia, Jabalia, Gaza City, Middle Area, Khan Younis, Rafah</w:t>
            </w:r>
          </w:p>
          <w:p w:rsidR="00846D82" w:rsidRPr="00A91DC3" w:rsidRDefault="00846D82" w:rsidP="003F2D46">
            <w:pPr>
              <w:rPr>
                <w:rFonts w:cs="Arial"/>
              </w:rPr>
            </w:pPr>
          </w:p>
        </w:tc>
      </w:tr>
      <w:tr w:rsidR="00846D82" w:rsidRPr="00A91DC3" w:rsidTr="00A91DC3">
        <w:trPr>
          <w:trHeight w:val="332"/>
        </w:trPr>
        <w:tc>
          <w:tcPr>
            <w:tcW w:w="775" w:type="pct"/>
            <w:vMerge/>
          </w:tcPr>
          <w:p w:rsidR="00846D82" w:rsidRPr="00A91DC3" w:rsidRDefault="00846D82" w:rsidP="003F2D46">
            <w:pPr>
              <w:rPr>
                <w:rFonts w:cs="Arial"/>
              </w:rPr>
            </w:pPr>
          </w:p>
        </w:tc>
        <w:tc>
          <w:tcPr>
            <w:tcW w:w="1977" w:type="pct"/>
            <w:vAlign w:val="center"/>
          </w:tcPr>
          <w:p w:rsidR="00846D82" w:rsidRPr="00A91DC3" w:rsidRDefault="00846D82" w:rsidP="003F2D46">
            <w:pPr>
              <w:rPr>
                <w:rFonts w:cs="Arial"/>
              </w:rPr>
            </w:pPr>
            <w:r w:rsidRPr="00A91DC3">
              <w:rPr>
                <w:rFonts w:cs="Arial"/>
                <w:bCs/>
              </w:rPr>
              <w:t>Collapsible Jerry cans  20l</w:t>
            </w:r>
          </w:p>
        </w:tc>
        <w:tc>
          <w:tcPr>
            <w:tcW w:w="620" w:type="pct"/>
            <w:vAlign w:val="center"/>
          </w:tcPr>
          <w:p w:rsidR="00846D82" w:rsidRPr="00A91DC3" w:rsidRDefault="00846D82" w:rsidP="00A65AA0">
            <w:pPr>
              <w:rPr>
                <w:rFonts w:cs="Arial"/>
              </w:rPr>
            </w:pPr>
            <w:r w:rsidRPr="00A91DC3">
              <w:rPr>
                <w:rFonts w:cs="Arial"/>
                <w:bCs/>
              </w:rPr>
              <w:t>8,500</w:t>
            </w:r>
          </w:p>
        </w:tc>
        <w:tc>
          <w:tcPr>
            <w:tcW w:w="543" w:type="pct"/>
            <w:vAlign w:val="center"/>
          </w:tcPr>
          <w:p w:rsidR="00846D82" w:rsidRPr="00A91DC3" w:rsidRDefault="00846D82" w:rsidP="00A65AA0">
            <w:pPr>
              <w:rPr>
                <w:rFonts w:cs="Arial"/>
              </w:rPr>
            </w:pPr>
            <w:r w:rsidRPr="00A91DC3">
              <w:rPr>
                <w:rFonts w:cs="Arial"/>
              </w:rPr>
              <w:t>$21,000</w:t>
            </w:r>
          </w:p>
        </w:tc>
        <w:tc>
          <w:tcPr>
            <w:tcW w:w="1085" w:type="pct"/>
            <w:vMerge/>
          </w:tcPr>
          <w:p w:rsidR="00846D82" w:rsidRPr="00A91DC3" w:rsidRDefault="00846D82" w:rsidP="003F2D46">
            <w:pPr>
              <w:rPr>
                <w:rFonts w:cs="Arial"/>
              </w:rPr>
            </w:pPr>
          </w:p>
        </w:tc>
      </w:tr>
      <w:tr w:rsidR="00846D82" w:rsidRPr="00A91DC3" w:rsidTr="00A91DC3">
        <w:trPr>
          <w:trHeight w:val="305"/>
        </w:trPr>
        <w:tc>
          <w:tcPr>
            <w:tcW w:w="775" w:type="pct"/>
            <w:vMerge/>
          </w:tcPr>
          <w:p w:rsidR="00846D82" w:rsidRPr="00A91DC3" w:rsidRDefault="00846D82" w:rsidP="003F2D46">
            <w:pPr>
              <w:rPr>
                <w:rFonts w:cs="Arial"/>
              </w:rPr>
            </w:pPr>
          </w:p>
        </w:tc>
        <w:tc>
          <w:tcPr>
            <w:tcW w:w="1977" w:type="pct"/>
            <w:vAlign w:val="center"/>
          </w:tcPr>
          <w:p w:rsidR="00846D82" w:rsidRPr="00A91DC3" w:rsidRDefault="00846D82" w:rsidP="003F2D46">
            <w:pPr>
              <w:rPr>
                <w:rFonts w:cs="Arial"/>
              </w:rPr>
            </w:pPr>
            <w:r w:rsidRPr="00A91DC3">
              <w:rPr>
                <w:rFonts w:cs="Arial"/>
                <w:bCs/>
              </w:rPr>
              <w:t>Chlorine (10-12% concentrate)</w:t>
            </w:r>
            <w:r w:rsidRPr="00A91DC3">
              <w:rPr>
                <w:rStyle w:val="FootnoteReference"/>
                <w:rFonts w:cs="Arial"/>
                <w:bCs/>
              </w:rPr>
              <w:footnoteReference w:id="7"/>
            </w:r>
          </w:p>
        </w:tc>
        <w:tc>
          <w:tcPr>
            <w:tcW w:w="620" w:type="pct"/>
            <w:vAlign w:val="center"/>
          </w:tcPr>
          <w:p w:rsidR="00846D82" w:rsidRPr="00A91DC3" w:rsidRDefault="00846D82" w:rsidP="00A65AA0">
            <w:pPr>
              <w:rPr>
                <w:rFonts w:cs="Arial"/>
              </w:rPr>
            </w:pPr>
            <w:r w:rsidRPr="00A91DC3">
              <w:rPr>
                <w:rFonts w:cs="Arial"/>
                <w:bCs/>
              </w:rPr>
              <w:t>50 m</w:t>
            </w:r>
            <w:r w:rsidRPr="00A91DC3">
              <w:rPr>
                <w:rFonts w:cs="Arial"/>
                <w:bCs/>
                <w:vertAlign w:val="superscript"/>
              </w:rPr>
              <w:t>3</w:t>
            </w:r>
          </w:p>
        </w:tc>
        <w:tc>
          <w:tcPr>
            <w:tcW w:w="543" w:type="pct"/>
            <w:vAlign w:val="center"/>
          </w:tcPr>
          <w:p w:rsidR="00846D82" w:rsidRPr="00A91DC3" w:rsidRDefault="00846D82" w:rsidP="00A65AA0">
            <w:pPr>
              <w:rPr>
                <w:rFonts w:cs="Arial"/>
              </w:rPr>
            </w:pPr>
            <w:r w:rsidRPr="00A91DC3">
              <w:rPr>
                <w:rFonts w:cs="Arial"/>
              </w:rPr>
              <w:t>$80,000</w:t>
            </w:r>
          </w:p>
        </w:tc>
        <w:tc>
          <w:tcPr>
            <w:tcW w:w="1085" w:type="pct"/>
            <w:vMerge/>
          </w:tcPr>
          <w:p w:rsidR="00846D82" w:rsidRPr="00A91DC3" w:rsidRDefault="00846D82" w:rsidP="003F2D46">
            <w:pPr>
              <w:rPr>
                <w:rFonts w:cs="Arial"/>
              </w:rPr>
            </w:pPr>
          </w:p>
        </w:tc>
      </w:tr>
      <w:tr w:rsidR="00846D82" w:rsidRPr="00A91DC3" w:rsidTr="00A91DC3">
        <w:trPr>
          <w:trHeight w:val="278"/>
        </w:trPr>
        <w:tc>
          <w:tcPr>
            <w:tcW w:w="775" w:type="pct"/>
            <w:vMerge/>
          </w:tcPr>
          <w:p w:rsidR="00846D82" w:rsidRPr="00A91DC3" w:rsidRDefault="00846D82" w:rsidP="003F2D46">
            <w:pPr>
              <w:rPr>
                <w:rFonts w:cs="Arial"/>
              </w:rPr>
            </w:pPr>
          </w:p>
        </w:tc>
        <w:tc>
          <w:tcPr>
            <w:tcW w:w="1977" w:type="pct"/>
            <w:vAlign w:val="center"/>
          </w:tcPr>
          <w:p w:rsidR="00846D82" w:rsidRPr="00A91DC3" w:rsidRDefault="00846D82" w:rsidP="003F2D46">
            <w:pPr>
              <w:rPr>
                <w:rFonts w:cs="Arial"/>
              </w:rPr>
            </w:pPr>
            <w:r w:rsidRPr="00A91DC3">
              <w:rPr>
                <w:rFonts w:cs="Arial"/>
                <w:bCs/>
              </w:rPr>
              <w:t>Water testing kits</w:t>
            </w:r>
          </w:p>
        </w:tc>
        <w:tc>
          <w:tcPr>
            <w:tcW w:w="620" w:type="pct"/>
            <w:vAlign w:val="center"/>
          </w:tcPr>
          <w:p w:rsidR="00846D82" w:rsidRPr="00A91DC3" w:rsidRDefault="00846D82" w:rsidP="00A65AA0">
            <w:pPr>
              <w:rPr>
                <w:rFonts w:cs="Arial"/>
              </w:rPr>
            </w:pPr>
            <w:r w:rsidRPr="00A91DC3">
              <w:rPr>
                <w:rFonts w:cs="Arial"/>
                <w:bCs/>
              </w:rPr>
              <w:t>20</w:t>
            </w:r>
          </w:p>
        </w:tc>
        <w:tc>
          <w:tcPr>
            <w:tcW w:w="543" w:type="pct"/>
            <w:vAlign w:val="center"/>
          </w:tcPr>
          <w:p w:rsidR="00846D82" w:rsidRPr="00A91DC3" w:rsidRDefault="00846D82" w:rsidP="00A65AA0">
            <w:pPr>
              <w:rPr>
                <w:rFonts w:cs="Arial"/>
              </w:rPr>
            </w:pPr>
            <w:r w:rsidRPr="00A91DC3">
              <w:rPr>
                <w:rFonts w:cs="Arial"/>
              </w:rPr>
              <w:t>$72,000</w:t>
            </w:r>
          </w:p>
        </w:tc>
        <w:tc>
          <w:tcPr>
            <w:tcW w:w="1085" w:type="pct"/>
            <w:vMerge/>
          </w:tcPr>
          <w:p w:rsidR="00846D82" w:rsidRPr="00A91DC3" w:rsidRDefault="00846D82" w:rsidP="003F2D46">
            <w:pPr>
              <w:rPr>
                <w:rFonts w:cs="Arial"/>
              </w:rPr>
            </w:pPr>
          </w:p>
        </w:tc>
      </w:tr>
      <w:tr w:rsidR="00846D82" w:rsidRPr="00A91DC3" w:rsidTr="00A91DC3">
        <w:trPr>
          <w:trHeight w:val="278"/>
        </w:trPr>
        <w:tc>
          <w:tcPr>
            <w:tcW w:w="775" w:type="pct"/>
            <w:vMerge/>
          </w:tcPr>
          <w:p w:rsidR="00846D82" w:rsidRPr="00A91DC3" w:rsidRDefault="00846D82" w:rsidP="003F2D46">
            <w:pPr>
              <w:rPr>
                <w:rFonts w:cs="Arial"/>
              </w:rPr>
            </w:pPr>
          </w:p>
        </w:tc>
        <w:tc>
          <w:tcPr>
            <w:tcW w:w="1977" w:type="pct"/>
            <w:vAlign w:val="center"/>
          </w:tcPr>
          <w:p w:rsidR="00846D82" w:rsidRPr="00A91DC3" w:rsidRDefault="00846D82" w:rsidP="003F2D46">
            <w:pPr>
              <w:rPr>
                <w:rFonts w:cs="Arial"/>
              </w:rPr>
            </w:pPr>
            <w:r w:rsidRPr="00A91DC3">
              <w:rPr>
                <w:rFonts w:cs="Arial"/>
                <w:bCs/>
              </w:rPr>
              <w:t>Chlorine tablets</w:t>
            </w:r>
          </w:p>
        </w:tc>
        <w:tc>
          <w:tcPr>
            <w:tcW w:w="620" w:type="pct"/>
            <w:vAlign w:val="center"/>
          </w:tcPr>
          <w:p w:rsidR="00846D82" w:rsidRPr="00A91DC3" w:rsidRDefault="00846D82" w:rsidP="00A65AA0">
            <w:pPr>
              <w:rPr>
                <w:rFonts w:cs="Arial"/>
              </w:rPr>
            </w:pPr>
            <w:r w:rsidRPr="00A91DC3">
              <w:rPr>
                <w:rFonts w:cs="Arial"/>
                <w:bCs/>
              </w:rPr>
              <w:t>3,000,000</w:t>
            </w:r>
          </w:p>
        </w:tc>
        <w:tc>
          <w:tcPr>
            <w:tcW w:w="543" w:type="pct"/>
            <w:vAlign w:val="center"/>
          </w:tcPr>
          <w:p w:rsidR="00846D82" w:rsidRPr="00A91DC3" w:rsidRDefault="00846D82" w:rsidP="00A65AA0">
            <w:pPr>
              <w:rPr>
                <w:rFonts w:cs="Arial"/>
              </w:rPr>
            </w:pPr>
            <w:r w:rsidRPr="00A91DC3">
              <w:rPr>
                <w:rFonts w:cs="Arial"/>
              </w:rPr>
              <w:t>$13,500</w:t>
            </w:r>
          </w:p>
        </w:tc>
        <w:tc>
          <w:tcPr>
            <w:tcW w:w="1085" w:type="pct"/>
            <w:vMerge/>
          </w:tcPr>
          <w:p w:rsidR="00846D82" w:rsidRPr="00A91DC3" w:rsidRDefault="00846D82" w:rsidP="003F2D46">
            <w:pPr>
              <w:rPr>
                <w:rFonts w:cs="Arial"/>
              </w:rPr>
            </w:pPr>
          </w:p>
        </w:tc>
      </w:tr>
      <w:tr w:rsidR="00846D82" w:rsidRPr="00A91DC3" w:rsidTr="00A91DC3">
        <w:trPr>
          <w:trHeight w:val="305"/>
        </w:trPr>
        <w:tc>
          <w:tcPr>
            <w:tcW w:w="775" w:type="pct"/>
            <w:vMerge/>
          </w:tcPr>
          <w:p w:rsidR="00846D82" w:rsidRPr="00A91DC3" w:rsidRDefault="00846D82" w:rsidP="003F2D46">
            <w:pPr>
              <w:rPr>
                <w:rFonts w:cs="Arial"/>
              </w:rPr>
            </w:pPr>
          </w:p>
        </w:tc>
        <w:tc>
          <w:tcPr>
            <w:tcW w:w="1977" w:type="pct"/>
            <w:vAlign w:val="center"/>
          </w:tcPr>
          <w:p w:rsidR="00846D82" w:rsidRPr="00A91DC3" w:rsidRDefault="00846D82" w:rsidP="003F2D46">
            <w:pPr>
              <w:rPr>
                <w:rFonts w:cs="Arial"/>
              </w:rPr>
            </w:pPr>
            <w:r w:rsidRPr="00A91DC3">
              <w:rPr>
                <w:rFonts w:cs="Arial"/>
              </w:rPr>
              <w:t>Mobile toilets/showers</w:t>
            </w:r>
            <w:r w:rsidRPr="00A91DC3">
              <w:rPr>
                <w:rStyle w:val="FootnoteReference"/>
                <w:rFonts w:cs="Arial"/>
              </w:rPr>
              <w:footnoteReference w:id="8"/>
            </w:r>
          </w:p>
        </w:tc>
        <w:tc>
          <w:tcPr>
            <w:tcW w:w="620" w:type="pct"/>
            <w:vAlign w:val="center"/>
          </w:tcPr>
          <w:p w:rsidR="00846D82" w:rsidRPr="00A91DC3" w:rsidRDefault="00846D82" w:rsidP="00A65AA0">
            <w:pPr>
              <w:rPr>
                <w:rFonts w:cs="Arial"/>
              </w:rPr>
            </w:pPr>
            <w:r w:rsidRPr="00A91DC3">
              <w:rPr>
                <w:rFonts w:cs="Arial"/>
              </w:rPr>
              <w:t>14</w:t>
            </w:r>
          </w:p>
        </w:tc>
        <w:tc>
          <w:tcPr>
            <w:tcW w:w="543" w:type="pct"/>
            <w:vAlign w:val="center"/>
          </w:tcPr>
          <w:p w:rsidR="00846D82" w:rsidRPr="00A91DC3" w:rsidRDefault="00846D82" w:rsidP="00A65AA0">
            <w:pPr>
              <w:rPr>
                <w:rFonts w:cs="Arial"/>
              </w:rPr>
            </w:pPr>
            <w:r w:rsidRPr="00A91DC3">
              <w:rPr>
                <w:rFonts w:cs="Arial"/>
              </w:rPr>
              <w:t>$65,800</w:t>
            </w:r>
          </w:p>
        </w:tc>
        <w:tc>
          <w:tcPr>
            <w:tcW w:w="1085" w:type="pct"/>
            <w:vMerge/>
          </w:tcPr>
          <w:p w:rsidR="00846D82" w:rsidRPr="00A91DC3" w:rsidRDefault="00846D82" w:rsidP="003F2D46">
            <w:pPr>
              <w:rPr>
                <w:rFonts w:cs="Arial"/>
              </w:rPr>
            </w:pPr>
          </w:p>
        </w:tc>
      </w:tr>
      <w:tr w:rsidR="00846D82" w:rsidRPr="00A91DC3" w:rsidTr="00A91DC3">
        <w:trPr>
          <w:trHeight w:val="278"/>
        </w:trPr>
        <w:tc>
          <w:tcPr>
            <w:tcW w:w="775" w:type="pct"/>
            <w:vMerge/>
          </w:tcPr>
          <w:p w:rsidR="00846D82" w:rsidRPr="00A91DC3" w:rsidRDefault="00846D82" w:rsidP="003F2D46">
            <w:pPr>
              <w:rPr>
                <w:rFonts w:cs="Arial"/>
              </w:rPr>
            </w:pPr>
          </w:p>
        </w:tc>
        <w:tc>
          <w:tcPr>
            <w:tcW w:w="1977" w:type="pct"/>
            <w:vAlign w:val="center"/>
          </w:tcPr>
          <w:p w:rsidR="00846D82" w:rsidRPr="00A91DC3" w:rsidRDefault="00846D82" w:rsidP="003F2D46">
            <w:pPr>
              <w:rPr>
                <w:rFonts w:cs="Arial"/>
              </w:rPr>
            </w:pPr>
            <w:r w:rsidRPr="00A91DC3">
              <w:rPr>
                <w:rFonts w:cs="Arial"/>
              </w:rPr>
              <w:t>Generators 50kvA</w:t>
            </w:r>
          </w:p>
        </w:tc>
        <w:tc>
          <w:tcPr>
            <w:tcW w:w="620" w:type="pct"/>
            <w:vAlign w:val="center"/>
          </w:tcPr>
          <w:p w:rsidR="00846D82" w:rsidRPr="00A91DC3" w:rsidRDefault="00846D82" w:rsidP="00A65AA0">
            <w:pPr>
              <w:rPr>
                <w:rFonts w:cs="Arial"/>
              </w:rPr>
            </w:pPr>
            <w:r w:rsidRPr="00A91DC3">
              <w:rPr>
                <w:rFonts w:cs="Arial"/>
              </w:rPr>
              <w:t>10</w:t>
            </w:r>
          </w:p>
        </w:tc>
        <w:tc>
          <w:tcPr>
            <w:tcW w:w="543" w:type="pct"/>
            <w:vAlign w:val="center"/>
          </w:tcPr>
          <w:p w:rsidR="00846D82" w:rsidRPr="00A91DC3" w:rsidRDefault="00846D82" w:rsidP="00A65AA0">
            <w:pPr>
              <w:rPr>
                <w:rFonts w:cs="Arial"/>
              </w:rPr>
            </w:pPr>
            <w:r w:rsidRPr="00A91DC3">
              <w:rPr>
                <w:rFonts w:cs="Arial"/>
              </w:rPr>
              <w:t>$86,000</w:t>
            </w:r>
          </w:p>
        </w:tc>
        <w:tc>
          <w:tcPr>
            <w:tcW w:w="1085" w:type="pct"/>
            <w:vMerge/>
          </w:tcPr>
          <w:p w:rsidR="00846D82" w:rsidRPr="00A91DC3" w:rsidRDefault="00846D82" w:rsidP="003F2D46">
            <w:pPr>
              <w:rPr>
                <w:rFonts w:cs="Arial"/>
              </w:rPr>
            </w:pPr>
          </w:p>
        </w:tc>
      </w:tr>
      <w:tr w:rsidR="00846D82" w:rsidRPr="00A91DC3" w:rsidTr="00A91DC3">
        <w:trPr>
          <w:trHeight w:val="350"/>
        </w:trPr>
        <w:tc>
          <w:tcPr>
            <w:tcW w:w="775" w:type="pct"/>
            <w:vMerge/>
          </w:tcPr>
          <w:p w:rsidR="00846D82" w:rsidRPr="00A91DC3" w:rsidRDefault="00846D82" w:rsidP="003F2D46">
            <w:pPr>
              <w:rPr>
                <w:rFonts w:cs="Arial"/>
              </w:rPr>
            </w:pPr>
          </w:p>
        </w:tc>
        <w:tc>
          <w:tcPr>
            <w:tcW w:w="1977" w:type="pct"/>
            <w:vAlign w:val="center"/>
          </w:tcPr>
          <w:p w:rsidR="00846D82" w:rsidRPr="00A91DC3" w:rsidRDefault="00846D82" w:rsidP="003F2D46">
            <w:pPr>
              <w:rPr>
                <w:rFonts w:cs="Arial"/>
              </w:rPr>
            </w:pPr>
            <w:r w:rsidRPr="00A91DC3">
              <w:rPr>
                <w:rFonts w:cs="Arial"/>
              </w:rPr>
              <w:t>Water tanks for domestic and drinking water 1,</w:t>
            </w:r>
            <w:r w:rsidRPr="00A91DC3">
              <w:rPr>
                <w:rFonts w:cs="Arial"/>
                <w:bCs/>
              </w:rPr>
              <w:t>5m</w:t>
            </w:r>
            <w:r w:rsidRPr="00A91DC3">
              <w:rPr>
                <w:rFonts w:cs="Arial"/>
                <w:bCs/>
                <w:vertAlign w:val="superscript"/>
              </w:rPr>
              <w:t>3</w:t>
            </w:r>
          </w:p>
        </w:tc>
        <w:tc>
          <w:tcPr>
            <w:tcW w:w="620" w:type="pct"/>
            <w:vAlign w:val="center"/>
          </w:tcPr>
          <w:p w:rsidR="00846D82" w:rsidRPr="00A91DC3" w:rsidRDefault="00846D82" w:rsidP="003F2D46">
            <w:pPr>
              <w:jc w:val="center"/>
              <w:rPr>
                <w:rFonts w:cs="Arial"/>
              </w:rPr>
            </w:pPr>
            <w:r w:rsidRPr="00A91DC3">
              <w:rPr>
                <w:rFonts w:cs="Arial"/>
              </w:rPr>
              <w:t>200</w:t>
            </w:r>
          </w:p>
        </w:tc>
        <w:tc>
          <w:tcPr>
            <w:tcW w:w="543" w:type="pct"/>
            <w:vAlign w:val="center"/>
          </w:tcPr>
          <w:p w:rsidR="00846D82" w:rsidRPr="00A91DC3" w:rsidRDefault="00846D82" w:rsidP="003F2D46">
            <w:pPr>
              <w:jc w:val="center"/>
              <w:rPr>
                <w:rFonts w:cs="Arial"/>
              </w:rPr>
            </w:pPr>
            <w:r w:rsidRPr="00A91DC3">
              <w:rPr>
                <w:rFonts w:cs="Arial"/>
              </w:rPr>
              <w:t>$247,000</w:t>
            </w:r>
          </w:p>
        </w:tc>
        <w:tc>
          <w:tcPr>
            <w:tcW w:w="1085" w:type="pct"/>
            <w:vMerge/>
          </w:tcPr>
          <w:p w:rsidR="00846D82" w:rsidRPr="00A91DC3" w:rsidRDefault="00846D82" w:rsidP="003F2D46">
            <w:pPr>
              <w:rPr>
                <w:rFonts w:cs="Arial"/>
              </w:rPr>
            </w:pPr>
          </w:p>
        </w:tc>
      </w:tr>
      <w:tr w:rsidR="00846D82" w:rsidRPr="00A91DC3" w:rsidTr="00A91DC3">
        <w:trPr>
          <w:trHeight w:val="278"/>
        </w:trPr>
        <w:tc>
          <w:tcPr>
            <w:tcW w:w="775" w:type="pct"/>
            <w:vMerge/>
          </w:tcPr>
          <w:p w:rsidR="00846D82" w:rsidRPr="00A91DC3" w:rsidRDefault="00846D82" w:rsidP="003F2D46">
            <w:pPr>
              <w:rPr>
                <w:rFonts w:cs="Arial"/>
              </w:rPr>
            </w:pPr>
          </w:p>
        </w:tc>
        <w:tc>
          <w:tcPr>
            <w:tcW w:w="1977" w:type="pct"/>
            <w:vAlign w:val="center"/>
          </w:tcPr>
          <w:p w:rsidR="00846D82" w:rsidRPr="00A91DC3" w:rsidRDefault="00846D82" w:rsidP="003F2D46">
            <w:pPr>
              <w:rPr>
                <w:rFonts w:cs="Arial"/>
              </w:rPr>
            </w:pPr>
            <w:r w:rsidRPr="00A91DC3">
              <w:rPr>
                <w:rFonts w:cs="Arial"/>
              </w:rPr>
              <w:t>Additional spare parts for CMWU (see annex III)</w:t>
            </w:r>
          </w:p>
        </w:tc>
        <w:tc>
          <w:tcPr>
            <w:tcW w:w="620" w:type="pct"/>
            <w:vAlign w:val="center"/>
          </w:tcPr>
          <w:p w:rsidR="00846D82" w:rsidRPr="00A91DC3" w:rsidRDefault="00846D82" w:rsidP="003F2D46">
            <w:pPr>
              <w:jc w:val="center"/>
              <w:rPr>
                <w:rFonts w:cs="Arial"/>
              </w:rPr>
            </w:pPr>
            <w:r w:rsidRPr="00A91DC3">
              <w:rPr>
                <w:rFonts w:cs="Arial"/>
              </w:rPr>
              <w:t>n/a</w:t>
            </w:r>
          </w:p>
        </w:tc>
        <w:tc>
          <w:tcPr>
            <w:tcW w:w="543" w:type="pct"/>
            <w:vAlign w:val="center"/>
          </w:tcPr>
          <w:p w:rsidR="00846D82" w:rsidRPr="00A91DC3" w:rsidRDefault="00846D82" w:rsidP="003F2D46">
            <w:pPr>
              <w:jc w:val="center"/>
              <w:rPr>
                <w:rFonts w:cs="Arial"/>
              </w:rPr>
            </w:pPr>
            <w:r w:rsidRPr="00A91DC3">
              <w:rPr>
                <w:rFonts w:cs="Arial"/>
              </w:rPr>
              <w:t>n/a</w:t>
            </w:r>
          </w:p>
        </w:tc>
        <w:tc>
          <w:tcPr>
            <w:tcW w:w="1085" w:type="pct"/>
            <w:vMerge/>
          </w:tcPr>
          <w:p w:rsidR="00846D82" w:rsidRPr="00A91DC3" w:rsidRDefault="00846D82" w:rsidP="003F2D46">
            <w:pPr>
              <w:rPr>
                <w:rFonts w:cs="Arial"/>
              </w:rPr>
            </w:pPr>
          </w:p>
        </w:tc>
      </w:tr>
      <w:tr w:rsidR="00846D82" w:rsidRPr="00A91DC3" w:rsidTr="00A91DC3">
        <w:trPr>
          <w:trHeight w:val="233"/>
        </w:trPr>
        <w:tc>
          <w:tcPr>
            <w:tcW w:w="775" w:type="pct"/>
            <w:shd w:val="clear" w:color="auto" w:fill="009999"/>
            <w:vAlign w:val="center"/>
          </w:tcPr>
          <w:p w:rsidR="00846D82" w:rsidRPr="00A91DC3" w:rsidRDefault="00846D82" w:rsidP="003F2D46">
            <w:pPr>
              <w:jc w:val="center"/>
              <w:rPr>
                <w:rFonts w:cs="Arial"/>
                <w:b/>
                <w:color w:val="FFFFFF" w:themeColor="background1"/>
                <w:lang w:val="es-US"/>
              </w:rPr>
            </w:pPr>
          </w:p>
        </w:tc>
        <w:tc>
          <w:tcPr>
            <w:tcW w:w="1977" w:type="pct"/>
            <w:shd w:val="clear" w:color="auto" w:fill="009999"/>
            <w:vAlign w:val="center"/>
          </w:tcPr>
          <w:p w:rsidR="00846D82" w:rsidRPr="00A91DC3" w:rsidRDefault="00846D82" w:rsidP="003F2D46">
            <w:pPr>
              <w:rPr>
                <w:rFonts w:cs="Arial"/>
                <w:b/>
                <w:color w:val="FFFFFF" w:themeColor="background1"/>
                <w:lang w:val="es-US"/>
              </w:rPr>
            </w:pPr>
            <w:r w:rsidRPr="00A91DC3">
              <w:rPr>
                <w:rFonts w:cs="Arial"/>
                <w:b/>
                <w:color w:val="FFFFFF" w:themeColor="background1"/>
                <w:lang w:val="es-US"/>
              </w:rPr>
              <w:t>TOTAL</w:t>
            </w:r>
          </w:p>
        </w:tc>
        <w:tc>
          <w:tcPr>
            <w:tcW w:w="620" w:type="pct"/>
            <w:shd w:val="clear" w:color="auto" w:fill="009999"/>
            <w:vAlign w:val="center"/>
          </w:tcPr>
          <w:p w:rsidR="00846D82" w:rsidRPr="00A91DC3" w:rsidRDefault="00846D82" w:rsidP="003F2D46">
            <w:pPr>
              <w:rPr>
                <w:rFonts w:cs="Arial"/>
                <w:b/>
                <w:color w:val="FFFFFF" w:themeColor="background1"/>
                <w:lang w:val="es-US"/>
              </w:rPr>
            </w:pPr>
          </w:p>
        </w:tc>
        <w:tc>
          <w:tcPr>
            <w:tcW w:w="543" w:type="pct"/>
            <w:shd w:val="clear" w:color="auto" w:fill="009999"/>
          </w:tcPr>
          <w:p w:rsidR="00846D82" w:rsidRPr="00A91DC3" w:rsidRDefault="00846D82" w:rsidP="003F2D46">
            <w:pPr>
              <w:jc w:val="center"/>
              <w:rPr>
                <w:rFonts w:cs="Arial"/>
                <w:b/>
                <w:color w:val="FFFFFF" w:themeColor="background1"/>
                <w:lang w:val="es-US"/>
              </w:rPr>
            </w:pPr>
            <w:r w:rsidRPr="00A91DC3">
              <w:rPr>
                <w:rFonts w:cs="Arial"/>
                <w:b/>
                <w:color w:val="FFFFFF" w:themeColor="background1"/>
                <w:lang w:val="es-US"/>
              </w:rPr>
              <w:t>$593,100</w:t>
            </w:r>
          </w:p>
        </w:tc>
        <w:tc>
          <w:tcPr>
            <w:tcW w:w="1085" w:type="pct"/>
            <w:shd w:val="clear" w:color="auto" w:fill="009999"/>
            <w:vAlign w:val="center"/>
          </w:tcPr>
          <w:p w:rsidR="00846D82" w:rsidRPr="00A91DC3" w:rsidRDefault="00846D82" w:rsidP="003F2D46">
            <w:pPr>
              <w:jc w:val="center"/>
              <w:rPr>
                <w:rFonts w:cs="Arial"/>
                <w:b/>
                <w:color w:val="FFFFFF" w:themeColor="background1"/>
                <w:lang w:val="es-US"/>
              </w:rPr>
            </w:pPr>
          </w:p>
        </w:tc>
      </w:tr>
    </w:tbl>
    <w:p w:rsidR="00580F79" w:rsidRDefault="00580F79">
      <w:pPr>
        <w:rPr>
          <w:rFonts w:eastAsiaTheme="majorEastAsia" w:cs="Arial"/>
          <w:b/>
          <w:bCs/>
          <w:color w:val="006666"/>
          <w:sz w:val="28"/>
          <w:szCs w:val="28"/>
        </w:rPr>
      </w:pPr>
    </w:p>
    <w:p w:rsidR="004F59C5" w:rsidRDefault="004F59C5" w:rsidP="004F59C5">
      <w:pPr>
        <w:pStyle w:val="heading1wash"/>
        <w:shd w:val="clear" w:color="auto" w:fill="98FFFC" w:themeFill="accent1" w:themeFillTint="40"/>
      </w:pPr>
      <w:bookmarkStart w:id="35" w:name="_Toc463891955"/>
      <w:r>
        <w:t>D</w:t>
      </w:r>
      <w:r w:rsidR="004353F3">
        <w:t>ESIGNATED EMERGENCY SHELTERS</w:t>
      </w:r>
      <w:bookmarkEnd w:id="35"/>
    </w:p>
    <w:p w:rsidR="00B34734" w:rsidRDefault="00EF42AD" w:rsidP="00FC160C">
      <w:r>
        <w:t>As part of the Inter-Agency Contingency Plan to provide shelter for people should a military incursion occur</w:t>
      </w:r>
      <w:r w:rsidR="00C7428B">
        <w:t>, and building on the experience and lessons of the 2014 conflict – at the height of which over 500,000 were displaced from their homes – the DES</w:t>
      </w:r>
      <w:r w:rsidR="00B34734">
        <w:t xml:space="preserve"> initiative s</w:t>
      </w:r>
      <w:r w:rsidR="00C7428B">
        <w:t>eek</w:t>
      </w:r>
      <w:r w:rsidR="00B34734">
        <w:t>s</w:t>
      </w:r>
      <w:r w:rsidR="00C7428B">
        <w:t xml:space="preserve"> to </w:t>
      </w:r>
      <w:r w:rsidR="00B34734">
        <w:t xml:space="preserve">increase the </w:t>
      </w:r>
      <w:r w:rsidR="00C7428B">
        <w:t>emergency shelter capacity</w:t>
      </w:r>
      <w:r w:rsidR="00B34734">
        <w:t xml:space="preserve"> to</w:t>
      </w:r>
      <w:r w:rsidR="00C7428B">
        <w:t xml:space="preserve"> 300,000. In complement to the existing 50 UNRWA Emergency Shelter, 20 MoEHE schools have been identified for upgrade to potentially serve as shelters for up to 2,000 persons each</w:t>
      </w:r>
      <w:r w:rsidR="00A91DC3">
        <w:t xml:space="preserve">, and have been included in the GRM mechanism. </w:t>
      </w:r>
    </w:p>
    <w:p w:rsidR="00A91DC3" w:rsidRDefault="00A91DC3" w:rsidP="00FC160C">
      <w:r>
        <w:t xml:space="preserve">The WASH upgrades are the largest costs given the construction and rehabilitation works, though will also serve to address some of the needs identified in the WASH in Education section above, as several of the identified DES schools are amongst those requiring WASH facility construction or rehabilitation. Nonetheless, at present only 5 have been funded.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1751"/>
        <w:gridCol w:w="2442"/>
        <w:gridCol w:w="2327"/>
      </w:tblGrid>
      <w:tr w:rsidR="00A91DC3" w:rsidRPr="00A91DC3" w:rsidTr="00A91DC3">
        <w:trPr>
          <w:trHeight w:val="300"/>
        </w:trPr>
        <w:tc>
          <w:tcPr>
            <w:tcW w:w="1883" w:type="pct"/>
            <w:tcBorders>
              <w:top w:val="nil"/>
              <w:left w:val="nil"/>
            </w:tcBorders>
            <w:shd w:val="clear" w:color="auto" w:fill="auto"/>
            <w:vAlign w:val="bottom"/>
          </w:tcPr>
          <w:p w:rsidR="00A91DC3" w:rsidRPr="00A91DC3" w:rsidRDefault="00A91DC3" w:rsidP="00A91DC3">
            <w:pPr>
              <w:spacing w:after="0" w:line="240" w:lineRule="auto"/>
              <w:rPr>
                <w:rFonts w:eastAsia="Times New Roman" w:cs="Times New Roman"/>
                <w:b/>
                <w:color w:val="FFFFFF" w:themeColor="background1"/>
                <w:lang w:val="en-US"/>
              </w:rPr>
            </w:pPr>
          </w:p>
        </w:tc>
        <w:tc>
          <w:tcPr>
            <w:tcW w:w="837" w:type="pct"/>
            <w:shd w:val="clear" w:color="auto" w:fill="009999"/>
            <w:vAlign w:val="bottom"/>
          </w:tcPr>
          <w:p w:rsidR="00A91DC3" w:rsidRPr="00A91DC3" w:rsidRDefault="00A91DC3" w:rsidP="00A91DC3">
            <w:pPr>
              <w:spacing w:after="0" w:line="240" w:lineRule="auto"/>
              <w:rPr>
                <w:rFonts w:eastAsia="Times New Roman" w:cs="Times New Roman"/>
                <w:b/>
                <w:color w:val="FFFFFF" w:themeColor="background1"/>
                <w:lang w:val="en-US"/>
              </w:rPr>
            </w:pPr>
            <w:r w:rsidRPr="00A91DC3">
              <w:rPr>
                <w:rFonts w:eastAsia="Times New Roman" w:cs="Times New Roman"/>
                <w:b/>
                <w:color w:val="FFFFFF" w:themeColor="background1"/>
                <w:lang w:val="en-US"/>
              </w:rPr>
              <w:t># of DES</w:t>
            </w:r>
          </w:p>
        </w:tc>
        <w:tc>
          <w:tcPr>
            <w:tcW w:w="1167" w:type="pct"/>
            <w:shd w:val="clear" w:color="auto" w:fill="009999"/>
            <w:vAlign w:val="bottom"/>
          </w:tcPr>
          <w:p w:rsidR="00A91DC3" w:rsidRPr="00A91DC3" w:rsidRDefault="00A91DC3" w:rsidP="00A91DC3">
            <w:pPr>
              <w:spacing w:after="0" w:line="240" w:lineRule="auto"/>
              <w:rPr>
                <w:rFonts w:eastAsia="Times New Roman" w:cs="Times New Roman"/>
                <w:b/>
                <w:color w:val="FFFFFF" w:themeColor="background1"/>
                <w:lang w:val="en-US"/>
              </w:rPr>
            </w:pPr>
            <w:r w:rsidRPr="00A91DC3">
              <w:rPr>
                <w:rFonts w:eastAsia="Times New Roman" w:cs="Times New Roman"/>
                <w:b/>
                <w:color w:val="FFFFFF" w:themeColor="background1"/>
                <w:lang w:val="en-US"/>
              </w:rPr>
              <w:t>Budget USD</w:t>
            </w:r>
          </w:p>
        </w:tc>
        <w:tc>
          <w:tcPr>
            <w:tcW w:w="1112" w:type="pct"/>
            <w:shd w:val="clear" w:color="auto" w:fill="009999"/>
            <w:vAlign w:val="bottom"/>
          </w:tcPr>
          <w:p w:rsidR="00A91DC3" w:rsidRPr="00A91DC3" w:rsidRDefault="00A91DC3" w:rsidP="00A91DC3">
            <w:pPr>
              <w:spacing w:after="0" w:line="240" w:lineRule="auto"/>
              <w:rPr>
                <w:rFonts w:eastAsia="Times New Roman" w:cs="Times New Roman"/>
                <w:b/>
                <w:color w:val="FFFFFF" w:themeColor="background1"/>
                <w:lang w:val="en-US"/>
              </w:rPr>
            </w:pPr>
            <w:r w:rsidRPr="00A91DC3">
              <w:rPr>
                <w:rFonts w:eastAsia="Times New Roman" w:cs="Times New Roman"/>
                <w:b/>
                <w:color w:val="FFFFFF" w:themeColor="background1"/>
                <w:lang w:val="en-US"/>
              </w:rPr>
              <w:t>IDP Capacity</w:t>
            </w:r>
          </w:p>
        </w:tc>
      </w:tr>
      <w:tr w:rsidR="00BE1A3D" w:rsidRPr="00BE1A3D" w:rsidTr="00A91DC3">
        <w:trPr>
          <w:trHeight w:val="300"/>
        </w:trPr>
        <w:tc>
          <w:tcPr>
            <w:tcW w:w="1883" w:type="pct"/>
            <w:shd w:val="clear" w:color="auto" w:fill="009999"/>
            <w:vAlign w:val="bottom"/>
            <w:hideMark/>
          </w:tcPr>
          <w:p w:rsidR="00BE1A3D" w:rsidRPr="00BE1A3D" w:rsidRDefault="00BE1A3D" w:rsidP="00A91DC3">
            <w:pPr>
              <w:spacing w:after="0" w:line="240" w:lineRule="auto"/>
              <w:rPr>
                <w:rFonts w:eastAsia="Times New Roman" w:cs="Times New Roman"/>
                <w:b/>
                <w:color w:val="FFFFFF" w:themeColor="background1"/>
                <w:lang w:val="en-US"/>
              </w:rPr>
            </w:pPr>
            <w:r w:rsidRPr="00BE1A3D">
              <w:rPr>
                <w:rFonts w:eastAsia="Times New Roman" w:cs="Times New Roman"/>
                <w:b/>
                <w:color w:val="FFFFFF" w:themeColor="background1"/>
                <w:lang w:val="en-US"/>
              </w:rPr>
              <w:t xml:space="preserve">Total </w:t>
            </w:r>
          </w:p>
        </w:tc>
        <w:tc>
          <w:tcPr>
            <w:tcW w:w="837" w:type="pct"/>
            <w:shd w:val="clear" w:color="auto" w:fill="auto"/>
            <w:vAlign w:val="bottom"/>
            <w:hideMark/>
          </w:tcPr>
          <w:p w:rsidR="00BE1A3D" w:rsidRPr="00BE1A3D" w:rsidRDefault="00A91DC3" w:rsidP="00A91DC3">
            <w:pPr>
              <w:spacing w:after="0" w:line="240" w:lineRule="auto"/>
              <w:rPr>
                <w:rFonts w:eastAsia="Times New Roman" w:cs="Times New Roman"/>
                <w:color w:val="000000"/>
                <w:lang w:val="en-US"/>
              </w:rPr>
            </w:pPr>
            <w:r w:rsidRPr="00A91DC3">
              <w:rPr>
                <w:rFonts w:eastAsia="Times New Roman" w:cs="Times New Roman"/>
                <w:color w:val="000000"/>
                <w:lang w:val="en-US"/>
              </w:rPr>
              <w:t>20</w:t>
            </w:r>
          </w:p>
        </w:tc>
        <w:tc>
          <w:tcPr>
            <w:tcW w:w="1167" w:type="pct"/>
            <w:shd w:val="clear" w:color="auto" w:fill="auto"/>
            <w:vAlign w:val="bottom"/>
            <w:hideMark/>
          </w:tcPr>
          <w:p w:rsidR="00BE1A3D" w:rsidRPr="00BE1A3D" w:rsidRDefault="00BE1A3D" w:rsidP="00A91DC3">
            <w:pPr>
              <w:spacing w:after="0" w:line="240" w:lineRule="auto"/>
              <w:rPr>
                <w:rFonts w:eastAsia="Times New Roman" w:cs="Times New Roman"/>
                <w:color w:val="000000"/>
                <w:lang w:val="en-US"/>
              </w:rPr>
            </w:pPr>
            <w:r w:rsidRPr="00BE1A3D">
              <w:rPr>
                <w:rFonts w:eastAsia="Times New Roman" w:cs="Times New Roman"/>
                <w:color w:val="000000"/>
                <w:lang w:val="en-US"/>
              </w:rPr>
              <w:t xml:space="preserve">3,347,092 </w:t>
            </w:r>
          </w:p>
        </w:tc>
        <w:tc>
          <w:tcPr>
            <w:tcW w:w="1112" w:type="pct"/>
            <w:shd w:val="clear" w:color="auto" w:fill="auto"/>
            <w:vAlign w:val="bottom"/>
            <w:hideMark/>
          </w:tcPr>
          <w:p w:rsidR="00BE1A3D" w:rsidRPr="00BE1A3D" w:rsidRDefault="00BE1A3D" w:rsidP="00A91DC3">
            <w:pPr>
              <w:spacing w:after="0" w:line="240" w:lineRule="auto"/>
              <w:rPr>
                <w:rFonts w:eastAsia="Times New Roman" w:cs="Times New Roman"/>
                <w:color w:val="000000"/>
                <w:lang w:val="en-US"/>
              </w:rPr>
            </w:pPr>
            <w:r w:rsidRPr="00BE1A3D">
              <w:rPr>
                <w:rFonts w:eastAsia="Times New Roman" w:cs="Times New Roman"/>
                <w:color w:val="000000"/>
                <w:lang w:val="en-US"/>
              </w:rPr>
              <w:t xml:space="preserve">22,509 </w:t>
            </w:r>
          </w:p>
        </w:tc>
      </w:tr>
      <w:tr w:rsidR="00BE1A3D" w:rsidRPr="00BE1A3D" w:rsidTr="00A91DC3">
        <w:trPr>
          <w:trHeight w:val="300"/>
        </w:trPr>
        <w:tc>
          <w:tcPr>
            <w:tcW w:w="1883" w:type="pct"/>
            <w:shd w:val="clear" w:color="auto" w:fill="009999"/>
            <w:vAlign w:val="bottom"/>
            <w:hideMark/>
          </w:tcPr>
          <w:p w:rsidR="00BE1A3D" w:rsidRPr="00BE1A3D" w:rsidRDefault="00BE1A3D" w:rsidP="00A91DC3">
            <w:pPr>
              <w:spacing w:after="0" w:line="240" w:lineRule="auto"/>
              <w:rPr>
                <w:rFonts w:eastAsia="Times New Roman" w:cs="Times New Roman"/>
                <w:b/>
                <w:color w:val="FFFFFF" w:themeColor="background1"/>
                <w:lang w:val="en-US"/>
              </w:rPr>
            </w:pPr>
            <w:r w:rsidRPr="00BE1A3D">
              <w:rPr>
                <w:rFonts w:eastAsia="Times New Roman" w:cs="Times New Roman"/>
                <w:b/>
                <w:color w:val="FFFFFF" w:themeColor="background1"/>
                <w:lang w:val="en-US"/>
              </w:rPr>
              <w:t xml:space="preserve">Funded </w:t>
            </w:r>
          </w:p>
        </w:tc>
        <w:tc>
          <w:tcPr>
            <w:tcW w:w="837" w:type="pct"/>
            <w:shd w:val="clear" w:color="auto" w:fill="auto"/>
            <w:vAlign w:val="bottom"/>
            <w:hideMark/>
          </w:tcPr>
          <w:p w:rsidR="00BE1A3D" w:rsidRPr="00BE1A3D" w:rsidRDefault="00BE1A3D" w:rsidP="00A91DC3">
            <w:pPr>
              <w:spacing w:after="0" w:line="240" w:lineRule="auto"/>
              <w:rPr>
                <w:rFonts w:eastAsia="Times New Roman" w:cs="Times New Roman"/>
                <w:color w:val="000000"/>
                <w:lang w:val="en-US"/>
              </w:rPr>
            </w:pPr>
            <w:r w:rsidRPr="00BE1A3D">
              <w:rPr>
                <w:rFonts w:eastAsia="Times New Roman" w:cs="Times New Roman"/>
                <w:color w:val="000000"/>
                <w:lang w:val="en-US"/>
              </w:rPr>
              <w:t>5</w:t>
            </w:r>
          </w:p>
        </w:tc>
        <w:tc>
          <w:tcPr>
            <w:tcW w:w="1167" w:type="pct"/>
            <w:shd w:val="clear" w:color="auto" w:fill="auto"/>
            <w:vAlign w:val="bottom"/>
            <w:hideMark/>
          </w:tcPr>
          <w:p w:rsidR="00BE1A3D" w:rsidRPr="00BE1A3D" w:rsidRDefault="00BE1A3D" w:rsidP="00A91DC3">
            <w:pPr>
              <w:spacing w:after="0" w:line="240" w:lineRule="auto"/>
              <w:rPr>
                <w:rFonts w:eastAsia="Times New Roman" w:cs="Times New Roman"/>
                <w:color w:val="000000"/>
                <w:lang w:val="en-US"/>
              </w:rPr>
            </w:pPr>
            <w:r w:rsidRPr="00BE1A3D">
              <w:rPr>
                <w:rFonts w:eastAsia="Times New Roman" w:cs="Times New Roman"/>
                <w:color w:val="000000"/>
                <w:lang w:val="en-US"/>
              </w:rPr>
              <w:t xml:space="preserve">922,751 </w:t>
            </w:r>
          </w:p>
        </w:tc>
        <w:tc>
          <w:tcPr>
            <w:tcW w:w="1112" w:type="pct"/>
            <w:shd w:val="clear" w:color="auto" w:fill="auto"/>
            <w:vAlign w:val="bottom"/>
            <w:hideMark/>
          </w:tcPr>
          <w:p w:rsidR="00BE1A3D" w:rsidRPr="00BE1A3D" w:rsidRDefault="00BE1A3D" w:rsidP="00A91DC3">
            <w:pPr>
              <w:spacing w:after="0" w:line="240" w:lineRule="auto"/>
              <w:rPr>
                <w:rFonts w:eastAsia="Times New Roman" w:cs="Times New Roman"/>
                <w:color w:val="000000"/>
                <w:lang w:val="en-US"/>
              </w:rPr>
            </w:pPr>
            <w:r w:rsidRPr="00BE1A3D">
              <w:rPr>
                <w:rFonts w:eastAsia="Times New Roman" w:cs="Times New Roman"/>
                <w:color w:val="000000"/>
                <w:lang w:val="en-US"/>
              </w:rPr>
              <w:t xml:space="preserve">7,074 </w:t>
            </w:r>
          </w:p>
        </w:tc>
      </w:tr>
      <w:tr w:rsidR="00BE1A3D" w:rsidRPr="00BE1A3D" w:rsidTr="00A91DC3">
        <w:trPr>
          <w:trHeight w:val="85"/>
        </w:trPr>
        <w:tc>
          <w:tcPr>
            <w:tcW w:w="1883" w:type="pct"/>
            <w:shd w:val="clear" w:color="auto" w:fill="009999"/>
            <w:vAlign w:val="bottom"/>
            <w:hideMark/>
          </w:tcPr>
          <w:p w:rsidR="00BE1A3D" w:rsidRPr="00BE1A3D" w:rsidRDefault="00BE1A3D" w:rsidP="00A91DC3">
            <w:pPr>
              <w:spacing w:after="0" w:line="240" w:lineRule="auto"/>
              <w:rPr>
                <w:rFonts w:eastAsia="Times New Roman" w:cs="Times New Roman"/>
                <w:b/>
                <w:color w:val="FFFFFF" w:themeColor="background1"/>
                <w:lang w:val="en-US"/>
              </w:rPr>
            </w:pPr>
            <w:r w:rsidRPr="00BE1A3D">
              <w:rPr>
                <w:rFonts w:eastAsia="Times New Roman" w:cs="Times New Roman"/>
                <w:b/>
                <w:color w:val="FFFFFF" w:themeColor="background1"/>
                <w:lang w:val="en-US"/>
              </w:rPr>
              <w:t>Un-funded/Gap</w:t>
            </w:r>
          </w:p>
        </w:tc>
        <w:tc>
          <w:tcPr>
            <w:tcW w:w="837" w:type="pct"/>
            <w:shd w:val="clear" w:color="auto" w:fill="auto"/>
            <w:vAlign w:val="bottom"/>
            <w:hideMark/>
          </w:tcPr>
          <w:p w:rsidR="00BE1A3D" w:rsidRPr="00BE1A3D" w:rsidRDefault="00A91DC3" w:rsidP="00A91DC3">
            <w:pPr>
              <w:spacing w:after="0" w:line="240" w:lineRule="auto"/>
              <w:rPr>
                <w:rFonts w:eastAsia="Times New Roman" w:cs="Times New Roman"/>
                <w:color w:val="000000"/>
                <w:lang w:val="en-US"/>
              </w:rPr>
            </w:pPr>
            <w:r w:rsidRPr="00A91DC3">
              <w:rPr>
                <w:rFonts w:eastAsia="Times New Roman" w:cs="Times New Roman"/>
                <w:color w:val="000000"/>
                <w:lang w:val="en-US"/>
              </w:rPr>
              <w:t>15</w:t>
            </w:r>
          </w:p>
        </w:tc>
        <w:tc>
          <w:tcPr>
            <w:tcW w:w="1167" w:type="pct"/>
            <w:shd w:val="clear" w:color="auto" w:fill="auto"/>
            <w:vAlign w:val="bottom"/>
            <w:hideMark/>
          </w:tcPr>
          <w:p w:rsidR="00BE1A3D" w:rsidRPr="00BE1A3D" w:rsidRDefault="00BE1A3D" w:rsidP="00A91DC3">
            <w:pPr>
              <w:spacing w:after="0" w:line="240" w:lineRule="auto"/>
              <w:rPr>
                <w:rFonts w:eastAsia="Times New Roman" w:cs="Times New Roman"/>
                <w:color w:val="000000"/>
                <w:lang w:val="en-US"/>
              </w:rPr>
            </w:pPr>
            <w:r w:rsidRPr="00BE1A3D">
              <w:rPr>
                <w:rFonts w:eastAsia="Times New Roman" w:cs="Times New Roman"/>
                <w:color w:val="000000"/>
                <w:lang w:val="en-US"/>
              </w:rPr>
              <w:t xml:space="preserve">2,424,341 </w:t>
            </w:r>
          </w:p>
        </w:tc>
        <w:tc>
          <w:tcPr>
            <w:tcW w:w="1112" w:type="pct"/>
            <w:shd w:val="clear" w:color="auto" w:fill="auto"/>
            <w:vAlign w:val="bottom"/>
            <w:hideMark/>
          </w:tcPr>
          <w:p w:rsidR="00BE1A3D" w:rsidRPr="00BE1A3D" w:rsidRDefault="00BE1A3D" w:rsidP="00A91DC3">
            <w:pPr>
              <w:spacing w:after="0" w:line="240" w:lineRule="auto"/>
              <w:rPr>
                <w:rFonts w:eastAsia="Times New Roman" w:cs="Times New Roman"/>
                <w:color w:val="000000"/>
                <w:lang w:val="en-US"/>
              </w:rPr>
            </w:pPr>
            <w:r w:rsidRPr="00BE1A3D">
              <w:rPr>
                <w:rFonts w:eastAsia="Times New Roman" w:cs="Times New Roman"/>
                <w:color w:val="000000"/>
                <w:lang w:val="en-US"/>
              </w:rPr>
              <w:t xml:space="preserve">15,435 </w:t>
            </w:r>
          </w:p>
        </w:tc>
      </w:tr>
    </w:tbl>
    <w:p w:rsidR="00D65A1D" w:rsidRDefault="00D65A1D">
      <w:pPr>
        <w:rPr>
          <w:rFonts w:eastAsiaTheme="majorEastAsia" w:cs="Arial"/>
          <w:b/>
          <w:bCs/>
          <w:color w:val="006666"/>
          <w:sz w:val="28"/>
          <w:szCs w:val="28"/>
        </w:rPr>
      </w:pPr>
      <w:r>
        <w:br w:type="page"/>
      </w:r>
    </w:p>
    <w:p w:rsidR="007A70E4" w:rsidRPr="007E6DF2" w:rsidRDefault="007A70E4" w:rsidP="007A70E4">
      <w:pPr>
        <w:pStyle w:val="heading1wash"/>
        <w:shd w:val="clear" w:color="auto" w:fill="00CAC5" w:themeFill="accent1" w:themeFillTint="BF"/>
        <w:spacing w:before="120" w:after="120"/>
        <w:rPr>
          <w:lang w:val="en-US"/>
        </w:rPr>
      </w:pPr>
      <w:bookmarkStart w:id="36" w:name="_Toc463891956"/>
      <w:r w:rsidRPr="007E6DF2">
        <w:rPr>
          <w:lang w:val="en-US"/>
        </w:rPr>
        <w:lastRenderedPageBreak/>
        <w:t xml:space="preserve">SECTION IV </w:t>
      </w:r>
      <w:r>
        <w:rPr>
          <w:lang w:val="en-US"/>
        </w:rPr>
        <w:t>–</w:t>
      </w:r>
      <w:r w:rsidRPr="007E6DF2">
        <w:rPr>
          <w:lang w:val="en-US"/>
        </w:rPr>
        <w:t xml:space="preserve"> </w:t>
      </w:r>
      <w:r>
        <w:rPr>
          <w:lang w:val="en-US"/>
        </w:rPr>
        <w:t>INFORMATION GAPS &amp; NEEDS</w:t>
      </w:r>
      <w:bookmarkEnd w:id="36"/>
    </w:p>
    <w:p w:rsidR="007A70E4" w:rsidRPr="0075548A" w:rsidRDefault="007A70E4" w:rsidP="007A70E4">
      <w:pPr>
        <w:pStyle w:val="heading1wash"/>
        <w:shd w:val="clear" w:color="auto" w:fill="98FFFC" w:themeFill="accent1" w:themeFillTint="40"/>
      </w:pPr>
    </w:p>
    <w:p w:rsidR="00954C5B" w:rsidRPr="00B34734" w:rsidRDefault="00954C5B" w:rsidP="00FC160C">
      <w:pPr>
        <w:rPr>
          <w:u w:val="single"/>
        </w:rPr>
      </w:pPr>
      <w:r w:rsidRPr="00B34734">
        <w:rPr>
          <w:u w:val="single"/>
        </w:rPr>
        <w:t>Data</w:t>
      </w:r>
    </w:p>
    <w:p w:rsidR="007A70E4" w:rsidRDefault="00B34734" w:rsidP="00FC160C">
      <w:r>
        <w:t>WASH in Health Centers +</w:t>
      </w:r>
      <w:r w:rsidR="00F922E3">
        <w:t xml:space="preserve"> WQM</w:t>
      </w:r>
      <w:r w:rsidR="00954C5B">
        <w:t xml:space="preserve"> </w:t>
      </w:r>
    </w:p>
    <w:p w:rsidR="00F922E3" w:rsidRDefault="00F922E3" w:rsidP="00FC160C">
      <w:r>
        <w:t>Epidemiological monitoring – regular with geographic breakdown</w:t>
      </w:r>
    </w:p>
    <w:p w:rsidR="00954C5B" w:rsidRDefault="00954C5B" w:rsidP="00FC160C"/>
    <w:p w:rsidR="00954C5B" w:rsidRPr="00B34734" w:rsidRDefault="00954C5B" w:rsidP="00FC160C">
      <w:pPr>
        <w:rPr>
          <w:u w:val="single"/>
        </w:rPr>
      </w:pPr>
      <w:r w:rsidRPr="00B34734">
        <w:rPr>
          <w:u w:val="single"/>
        </w:rPr>
        <w:t>Studies</w:t>
      </w:r>
    </w:p>
    <w:p w:rsidR="00F922E3" w:rsidRDefault="00954C5B" w:rsidP="00FC160C">
      <w:r>
        <w:t>Desludging market</w:t>
      </w:r>
    </w:p>
    <w:p w:rsidR="00954C5B" w:rsidRPr="007A70E4" w:rsidRDefault="00954C5B" w:rsidP="00FC160C">
      <w:r>
        <w:t>Medical Waste today</w:t>
      </w:r>
    </w:p>
    <w:p w:rsidR="007A70E4" w:rsidRPr="007A70E4" w:rsidRDefault="007A70E4" w:rsidP="00FC160C"/>
    <w:p w:rsidR="00580F79" w:rsidRDefault="00580F79">
      <w:pPr>
        <w:rPr>
          <w:rFonts w:eastAsiaTheme="majorEastAsia" w:cs="Arial"/>
          <w:b/>
          <w:bCs/>
          <w:color w:val="006666"/>
          <w:sz w:val="28"/>
          <w:szCs w:val="28"/>
          <w:lang w:val="en-US"/>
        </w:rPr>
      </w:pPr>
      <w:r>
        <w:rPr>
          <w:lang w:val="en-US"/>
        </w:rPr>
        <w:br w:type="page"/>
      </w:r>
    </w:p>
    <w:p w:rsidR="007E6DF2" w:rsidRPr="007E6DF2" w:rsidRDefault="007E6DF2" w:rsidP="007E6DF2">
      <w:pPr>
        <w:pStyle w:val="heading1wash"/>
        <w:shd w:val="clear" w:color="auto" w:fill="00CAC5" w:themeFill="accent1" w:themeFillTint="BF"/>
        <w:spacing w:before="120" w:after="120"/>
        <w:rPr>
          <w:lang w:val="en-US"/>
        </w:rPr>
      </w:pPr>
      <w:bookmarkStart w:id="37" w:name="_Toc463891957"/>
      <w:r w:rsidRPr="007E6DF2">
        <w:rPr>
          <w:lang w:val="en-US"/>
        </w:rPr>
        <w:lastRenderedPageBreak/>
        <w:t xml:space="preserve">SECTION V </w:t>
      </w:r>
      <w:r>
        <w:rPr>
          <w:lang w:val="en-US"/>
        </w:rPr>
        <w:t>–</w:t>
      </w:r>
      <w:r w:rsidRPr="007E6DF2">
        <w:rPr>
          <w:lang w:val="en-US"/>
        </w:rPr>
        <w:t xml:space="preserve"> </w:t>
      </w:r>
      <w:r>
        <w:rPr>
          <w:lang w:val="en-US"/>
        </w:rPr>
        <w:t>KEY DOCUMENTS &amp; REFERENCES</w:t>
      </w:r>
      <w:bookmarkEnd w:id="37"/>
    </w:p>
    <w:p w:rsidR="007E6DF2" w:rsidRPr="0075548A" w:rsidRDefault="007E6DF2" w:rsidP="007E6DF2">
      <w:pPr>
        <w:pStyle w:val="heading1wash"/>
        <w:shd w:val="clear" w:color="auto" w:fill="98FFFC" w:themeFill="accent1" w:themeFillTint="40"/>
      </w:pPr>
    </w:p>
    <w:p w:rsidR="00C32AC5" w:rsidRDefault="00C32AC5" w:rsidP="00FC160C">
      <w:r>
        <w:t>Action Contre la Faim (2016). Gaza Governorate</w:t>
      </w:r>
      <w:r w:rsidR="008D7472">
        <w:t xml:space="preserve"> Household Survey</w:t>
      </w:r>
      <w:r>
        <w:t xml:space="preserve">: Summary of findings. </w:t>
      </w:r>
    </w:p>
    <w:p w:rsidR="00C32AC5" w:rsidRDefault="00C32AC5" w:rsidP="00C32AC5">
      <w:r>
        <w:t>Action Contre la Faim (2016). North Gaza Governorate</w:t>
      </w:r>
      <w:r w:rsidR="008D7472">
        <w:t xml:space="preserve"> Household Survey</w:t>
      </w:r>
      <w:r>
        <w:t xml:space="preserve">: Summary of findings. </w:t>
      </w:r>
    </w:p>
    <w:p w:rsidR="00C32AC5" w:rsidRDefault="00C32AC5" w:rsidP="00C32AC5">
      <w:r>
        <w:t>Almadina Consultants, (2016). Strategy for Establishment of a Cohesive and Integrated Water and Health Monitoring Programme for the Gaza Strip. Palestinian Wa</w:t>
      </w:r>
      <w:r w:rsidR="000E3F3F">
        <w:t xml:space="preserve">ter Authority, April, 2016. </w:t>
      </w:r>
    </w:p>
    <w:p w:rsidR="007E6DF2" w:rsidRDefault="00AD1EFE" w:rsidP="00FC160C">
      <w:r w:rsidRPr="00AD1EFE">
        <w:t>Alnawajha, S. K., Bakry, G. A., &amp; Aljeesh, Y. I. (2015). Predictors of Acute Diarrhoea among Hospitalized Children in Gaza Governorates: A Case-Control Study. Journal of Health, Population, and Nutrition, 33(1), 1–8.</w:t>
      </w:r>
    </w:p>
    <w:p w:rsidR="00C32AC5" w:rsidRDefault="004428ED" w:rsidP="00FC160C">
      <w:r>
        <w:t xml:space="preserve">Center for Engineering and Planning (2015). Assignment I - Survey of Private and Public Brackish Desalination Plants in Gaza Strip which Will Provide the Necessary Data and Information to Improve the Drinking Water Supply in the Gaza Strip: Final Analysis Report. </w:t>
      </w:r>
      <w:r w:rsidR="00696ED3">
        <w:t>GIZ</w:t>
      </w:r>
    </w:p>
    <w:p w:rsidR="00C32AC5" w:rsidRDefault="00C32AC5" w:rsidP="00FC160C">
      <w:r>
        <w:t xml:space="preserve">CMWU (2016). Water Production Statistics 2015 &amp; 2016. Coastal Municipal Water Utilities, July, 2016. </w:t>
      </w:r>
    </w:p>
    <w:p w:rsidR="00C32AC5" w:rsidRDefault="00C32AC5" w:rsidP="00FC160C">
      <w:r>
        <w:t xml:space="preserve">Oxfam (2016). WASH Knowledge, Attitude and Practice Endline Report: WASH Support to Vulnerable and War Affected Gaza Population. </w:t>
      </w:r>
    </w:p>
    <w:p w:rsidR="000E3F3F" w:rsidRDefault="000E3F3F" w:rsidP="000E3F3F">
      <w:r>
        <w:t>NRC (2016). Desalinated Water Chain in the Gaza Strip: From Source to Mouth – Analysis Report. Palestinian Water Authority, April, 2016.</w:t>
      </w:r>
    </w:p>
    <w:p w:rsidR="000E3F3F" w:rsidRPr="00861DBB" w:rsidRDefault="000E3F3F" w:rsidP="000E3F3F">
      <w:r w:rsidRPr="00861DBB">
        <w:t xml:space="preserve">OCHA (2016). </w:t>
      </w:r>
      <w:r w:rsidR="0024741D" w:rsidRPr="00861DBB">
        <w:t xml:space="preserve">SoP </w:t>
      </w:r>
      <w:r w:rsidRPr="00861DBB">
        <w:t>Vulnerability Profiling</w:t>
      </w:r>
      <w:r w:rsidR="0024741D" w:rsidRPr="00861DBB">
        <w:t xml:space="preserve"> Survey Data</w:t>
      </w:r>
    </w:p>
    <w:p w:rsidR="000E3F3F" w:rsidRPr="00861DBB" w:rsidRDefault="000E3F3F" w:rsidP="000E3F3F">
      <w:r w:rsidRPr="00861DBB">
        <w:t>OCHA (2016)</w:t>
      </w:r>
      <w:r w:rsidR="0024741D" w:rsidRPr="00861DBB">
        <w:t>. IDP Vulnerability Profiling</w:t>
      </w:r>
      <w:r w:rsidRPr="00861DBB">
        <w:t xml:space="preserve"> Survey</w:t>
      </w:r>
      <w:r w:rsidR="0024741D" w:rsidRPr="00861DBB">
        <w:t xml:space="preserve"> Data</w:t>
      </w:r>
    </w:p>
    <w:p w:rsidR="0024741D" w:rsidRDefault="0024741D" w:rsidP="000E3F3F">
      <w:r w:rsidRPr="00861DBB">
        <w:t>OCHA (2016). Gaza Internally Displaced Persons.</w:t>
      </w:r>
      <w:r>
        <w:t xml:space="preserve"> </w:t>
      </w:r>
    </w:p>
    <w:p w:rsidR="00696ED3" w:rsidRDefault="00696ED3" w:rsidP="00FC160C">
      <w:r>
        <w:t>PCBS (2014). Education Environment Study: Main Findings. Palestinian Central Bureau of Statistics &amp; Ministry of Education &amp; Higher E</w:t>
      </w:r>
      <w:r w:rsidR="00C32AC5">
        <w:t xml:space="preserve">ducation, </w:t>
      </w:r>
      <w:r>
        <w:t xml:space="preserve">November, 2014. </w:t>
      </w:r>
    </w:p>
    <w:p w:rsidR="00696ED3" w:rsidRDefault="00696ED3" w:rsidP="00FC160C">
      <w:r>
        <w:t xml:space="preserve">PCBS (2014). Environment Survey for Health Facilities (Governmental &amp; Non-Governmental): Main Findings. Palestinian Central Bureau of Statistics &amp; Ministry of </w:t>
      </w:r>
      <w:r w:rsidR="00C32AC5">
        <w:t xml:space="preserve">Health, </w:t>
      </w:r>
      <w:r>
        <w:t xml:space="preserve">October, 2014. </w:t>
      </w:r>
    </w:p>
    <w:p w:rsidR="00696ED3" w:rsidRDefault="00C32AC5" w:rsidP="00FC160C">
      <w:r>
        <w:t>PWA (2015). Baseline Study on Water Quality and Public Health in the Gaza Strip. PWA</w:t>
      </w:r>
    </w:p>
    <w:p w:rsidR="008F107E" w:rsidRDefault="008F107E" w:rsidP="00FC160C">
      <w:r>
        <w:t xml:space="preserve">UNICEF, Palestinian Hydrology Group (2010). Water, Sanitation and Hygiene Household Survey Gaza. </w:t>
      </w:r>
    </w:p>
    <w:p w:rsidR="008F107E" w:rsidRDefault="000E3F3F" w:rsidP="00FC160C">
      <w:r>
        <w:t xml:space="preserve">UNICEF, Gruppo Voluntario Civile, Palestinian Hydrology Group (2016). WASH Assessment at Household Level in the Gaza Strip. </w:t>
      </w:r>
    </w:p>
    <w:p w:rsidR="000E3F3F" w:rsidRDefault="000E3F3F" w:rsidP="00FC160C">
      <w:r>
        <w:t>UNICEF (2016). Final Report: School Water, Sanitation and Hygiene Knowledge, Attitudes and Practices Survey 2015.</w:t>
      </w:r>
    </w:p>
    <w:p w:rsidR="00696ED3" w:rsidRDefault="00696ED3" w:rsidP="00FC160C">
      <w:r>
        <w:t xml:space="preserve">WASH Cluster (2016). National WASH Sector Contingency Plan. </w:t>
      </w:r>
    </w:p>
    <w:p w:rsidR="00696ED3" w:rsidRDefault="00696ED3" w:rsidP="00FC160C">
      <w:r>
        <w:t xml:space="preserve">WASH Cluster (2015) Winterisation Plan. </w:t>
      </w:r>
    </w:p>
    <w:p w:rsidR="004428ED" w:rsidRPr="007E6DF2" w:rsidRDefault="00696ED3" w:rsidP="00FC160C">
      <w:r>
        <w:t>WASH Cluster (2015). Winter Flood Risk Assessment Matrix</w:t>
      </w:r>
    </w:p>
    <w:sectPr w:rsidR="004428ED" w:rsidRPr="007E6DF2" w:rsidSect="00855752">
      <w:headerReference w:type="default" r:id="rId81"/>
      <w:footerReference w:type="default" r:id="rId82"/>
      <w:footerReference w:type="first" r:id="rId83"/>
      <w:pgSz w:w="11906" w:h="16838"/>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2F3" w:rsidRDefault="000C52F3" w:rsidP="00233ADC">
      <w:pPr>
        <w:spacing w:after="0" w:line="240" w:lineRule="auto"/>
      </w:pPr>
      <w:r>
        <w:separator/>
      </w:r>
    </w:p>
  </w:endnote>
  <w:endnote w:type="continuationSeparator" w:id="0">
    <w:p w:rsidR="000C52F3" w:rsidRDefault="000C52F3" w:rsidP="0023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728470"/>
      <w:docPartObj>
        <w:docPartGallery w:val="Page Numbers (Bottom of Page)"/>
        <w:docPartUnique/>
      </w:docPartObj>
    </w:sdtPr>
    <w:sdtEndPr>
      <w:rPr>
        <w:noProof/>
      </w:rPr>
    </w:sdtEndPr>
    <w:sdtContent>
      <w:p w:rsidR="009362C7" w:rsidRDefault="009362C7">
        <w:pPr>
          <w:pStyle w:val="Footer"/>
          <w:jc w:val="right"/>
        </w:pPr>
        <w:r>
          <w:fldChar w:fldCharType="begin"/>
        </w:r>
        <w:r>
          <w:instrText xml:space="preserve"> PAGE   \* MERGEFORMAT </w:instrText>
        </w:r>
        <w:r>
          <w:fldChar w:fldCharType="separate"/>
        </w:r>
        <w:r w:rsidR="000B2213">
          <w:rPr>
            <w:noProof/>
          </w:rPr>
          <w:t>11</w:t>
        </w:r>
        <w:r>
          <w:rPr>
            <w:noProof/>
          </w:rPr>
          <w:fldChar w:fldCharType="end"/>
        </w:r>
      </w:p>
    </w:sdtContent>
  </w:sdt>
  <w:p w:rsidR="009362C7" w:rsidRPr="00D73F44" w:rsidRDefault="009362C7" w:rsidP="001007A3">
    <w:pPr>
      <w:pStyle w:val="Footer"/>
      <w:jc w:val="center"/>
      <w:rPr>
        <w:b/>
        <w:bCs/>
        <w:color w:val="006462" w:themeColor="accent1"/>
        <w:sz w:val="24"/>
        <w:szCs w:val="24"/>
      </w:rPr>
    </w:pPr>
    <w:r>
      <w:rPr>
        <w:b/>
        <w:bCs/>
        <w:color w:val="006462" w:themeColor="accent1"/>
        <w:sz w:val="24"/>
        <w:szCs w:val="24"/>
      </w:rPr>
      <w:t>WASH Cluster Palestine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C7" w:rsidRPr="00CF23C3" w:rsidRDefault="009362C7" w:rsidP="00F62A36">
    <w:pPr>
      <w:pStyle w:val="Footer"/>
      <w:jc w:val="right"/>
      <w:rPr>
        <w:sz w:val="18"/>
      </w:rPr>
    </w:pPr>
  </w:p>
  <w:p w:rsidR="009362C7" w:rsidRDefault="009362C7" w:rsidP="00233AD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2F3" w:rsidRDefault="000C52F3" w:rsidP="00233ADC">
      <w:pPr>
        <w:spacing w:after="0" w:line="240" w:lineRule="auto"/>
      </w:pPr>
      <w:r>
        <w:separator/>
      </w:r>
    </w:p>
  </w:footnote>
  <w:footnote w:type="continuationSeparator" w:id="0">
    <w:p w:rsidR="000C52F3" w:rsidRDefault="000C52F3" w:rsidP="00233ADC">
      <w:pPr>
        <w:spacing w:after="0" w:line="240" w:lineRule="auto"/>
      </w:pPr>
      <w:r>
        <w:continuationSeparator/>
      </w:r>
    </w:p>
  </w:footnote>
  <w:footnote w:id="1">
    <w:p w:rsidR="009362C7" w:rsidRPr="00C913F2" w:rsidRDefault="009362C7">
      <w:pPr>
        <w:pStyle w:val="FootnoteText"/>
        <w:rPr>
          <w:lang w:val="en-US"/>
        </w:rPr>
      </w:pPr>
      <w:r>
        <w:rPr>
          <w:rStyle w:val="FootnoteReference"/>
        </w:rPr>
        <w:footnoteRef/>
      </w:r>
      <w:r>
        <w:t xml:space="preserve"> </w:t>
      </w:r>
    </w:p>
  </w:footnote>
  <w:footnote w:id="2">
    <w:p w:rsidR="009362C7" w:rsidRPr="00C913F2" w:rsidRDefault="009362C7">
      <w:pPr>
        <w:pStyle w:val="FootnoteText"/>
        <w:rPr>
          <w:lang w:val="en-US"/>
        </w:rPr>
      </w:pPr>
      <w:r>
        <w:rPr>
          <w:rStyle w:val="FootnoteReference"/>
        </w:rPr>
        <w:footnoteRef/>
      </w:r>
      <w:r>
        <w:t xml:space="preserve"> </w:t>
      </w:r>
    </w:p>
  </w:footnote>
  <w:footnote w:id="3">
    <w:p w:rsidR="009362C7" w:rsidRPr="00C913F2" w:rsidRDefault="009362C7">
      <w:pPr>
        <w:pStyle w:val="FootnoteText"/>
        <w:rPr>
          <w:lang w:val="en-US"/>
        </w:rPr>
      </w:pPr>
      <w:r>
        <w:rPr>
          <w:rStyle w:val="FootnoteReference"/>
        </w:rPr>
        <w:footnoteRef/>
      </w:r>
      <w:r>
        <w:t xml:space="preserve"> </w:t>
      </w:r>
    </w:p>
  </w:footnote>
  <w:footnote w:id="4">
    <w:p w:rsidR="009362C7" w:rsidRPr="00C913F2" w:rsidRDefault="009362C7">
      <w:pPr>
        <w:pStyle w:val="FootnoteText"/>
      </w:pPr>
      <w:r>
        <w:rPr>
          <w:rStyle w:val="FootnoteReference"/>
        </w:rPr>
        <w:footnoteRef/>
      </w:r>
      <w:r>
        <w:t xml:space="preserve"> </w:t>
      </w:r>
    </w:p>
  </w:footnote>
  <w:footnote w:id="5">
    <w:p w:rsidR="009362C7" w:rsidRPr="002C01EB" w:rsidRDefault="009362C7">
      <w:pPr>
        <w:pStyle w:val="FootnoteText"/>
      </w:pPr>
      <w:r>
        <w:rPr>
          <w:rStyle w:val="FootnoteReference"/>
        </w:rPr>
        <w:footnoteRef/>
      </w:r>
      <w:r>
        <w:t xml:space="preserve"> As </w:t>
      </w:r>
      <w:r>
        <w:rPr>
          <w:lang w:val="en-US"/>
        </w:rPr>
        <w:t>published in the UNRWA epidemiological bulletins</w:t>
      </w:r>
    </w:p>
  </w:footnote>
  <w:footnote w:id="6">
    <w:p w:rsidR="009362C7" w:rsidRPr="002C01EB" w:rsidRDefault="009362C7">
      <w:pPr>
        <w:pStyle w:val="FootnoteText"/>
      </w:pPr>
      <w:r>
        <w:rPr>
          <w:rStyle w:val="FootnoteReference"/>
        </w:rPr>
        <w:footnoteRef/>
      </w:r>
      <w:r>
        <w:t xml:space="preserve"> Incidence of diarrhoea in the two weeks preceeding the HH interview</w:t>
      </w:r>
    </w:p>
  </w:footnote>
  <w:footnote w:id="7">
    <w:p w:rsidR="009362C7" w:rsidRPr="004076EA" w:rsidRDefault="009362C7" w:rsidP="00846D82">
      <w:pPr>
        <w:pStyle w:val="FootnoteText"/>
        <w:rPr>
          <w:sz w:val="16"/>
          <w:szCs w:val="16"/>
        </w:rPr>
      </w:pPr>
      <w:r w:rsidRPr="004076EA">
        <w:rPr>
          <w:rStyle w:val="FootnoteReference"/>
          <w:sz w:val="16"/>
          <w:szCs w:val="16"/>
        </w:rPr>
        <w:footnoteRef/>
      </w:r>
      <w:r w:rsidRPr="004076EA">
        <w:rPr>
          <w:sz w:val="16"/>
          <w:szCs w:val="16"/>
        </w:rPr>
        <w:t xml:space="preserve"> HTH 67-70% concentrate would be a better choice but is not allowed to enter Gaza</w:t>
      </w:r>
    </w:p>
  </w:footnote>
  <w:footnote w:id="8">
    <w:p w:rsidR="009362C7" w:rsidRDefault="009362C7" w:rsidP="00846D82">
      <w:pPr>
        <w:pStyle w:val="FootnoteText"/>
      </w:pPr>
      <w:r>
        <w:rPr>
          <w:rStyle w:val="FootnoteReference"/>
        </w:rPr>
        <w:footnoteRef/>
      </w:r>
      <w:r>
        <w:t xml:space="preserve"> </w:t>
      </w:r>
      <w:r w:rsidRPr="00F005C2">
        <w:rPr>
          <w:sz w:val="16"/>
          <w:szCs w:val="16"/>
        </w:rPr>
        <w:t xml:space="preserve">Mobile toilets/showers to be used in </w:t>
      </w:r>
      <w:r>
        <w:rPr>
          <w:sz w:val="16"/>
          <w:szCs w:val="16"/>
        </w:rPr>
        <w:t>14</w:t>
      </w:r>
      <w:r w:rsidRPr="00F005C2">
        <w:rPr>
          <w:sz w:val="16"/>
          <w:szCs w:val="16"/>
        </w:rPr>
        <w:t xml:space="preserve"> Designated Emergency Shelters identified in addition t</w:t>
      </w:r>
      <w:r>
        <w:rPr>
          <w:sz w:val="16"/>
          <w:szCs w:val="16"/>
        </w:rPr>
        <w:t>o</w:t>
      </w:r>
      <w:r w:rsidRPr="00F005C2">
        <w:rPr>
          <w:sz w:val="16"/>
          <w:szCs w:val="16"/>
        </w:rPr>
        <w:t xml:space="preserve"> the UNRWA emergency shelters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C7" w:rsidRPr="00D40C9F" w:rsidRDefault="009362C7" w:rsidP="009E5611">
    <w:pPr>
      <w:pStyle w:val="Header"/>
      <w:jc w:val="right"/>
      <w:rPr>
        <w:rFonts w:cs="Arial"/>
        <w:b/>
        <w:bCs/>
        <w:i/>
        <w:color w:val="586666" w:themeColor="accent2" w:themeTint="BF"/>
        <w:sz w:val="20"/>
        <w:szCs w:val="24"/>
      </w:rPr>
    </w:pPr>
    <w:r>
      <w:rPr>
        <w:rFonts w:cs="Arial"/>
        <w:b/>
        <w:bCs/>
        <w:i/>
        <w:color w:val="586666" w:themeColor="accent2" w:themeTint="BF"/>
        <w:sz w:val="20"/>
        <w:szCs w:val="24"/>
      </w:rPr>
      <w:t>Gaza WASH Needs Overview</w:t>
    </w:r>
    <w:r w:rsidRPr="00D40C9F">
      <w:rPr>
        <w:rFonts w:cs="Arial"/>
        <w:b/>
        <w:bCs/>
        <w:i/>
        <w:color w:val="586666" w:themeColor="accent2" w:themeTint="BF"/>
        <w:sz w:val="20"/>
        <w:szCs w:val="24"/>
      </w:rPr>
      <w:t xml:space="preserve"> – </w:t>
    </w:r>
    <w:r>
      <w:rPr>
        <w:rFonts w:cs="Arial"/>
        <w:b/>
        <w:bCs/>
        <w:i/>
        <w:color w:val="586666" w:themeColor="accent2" w:themeTint="BF"/>
        <w:sz w:val="20"/>
        <w:szCs w:val="24"/>
      </w:rPr>
      <w:t>September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2pt;height:75.2pt" o:bullet="t">
        <v:imagedata r:id="rId1" o:title="wash_water_source_100px_icon"/>
      </v:shape>
    </w:pict>
  </w:numPicBullet>
  <w:abstractNum w:abstractNumId="0" w15:restartNumberingAfterBreak="0">
    <w:nsid w:val="0360344E"/>
    <w:multiLevelType w:val="multilevel"/>
    <w:tmpl w:val="0226E45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799210D"/>
    <w:multiLevelType w:val="hybridMultilevel"/>
    <w:tmpl w:val="055E54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253AF"/>
    <w:multiLevelType w:val="hybridMultilevel"/>
    <w:tmpl w:val="7282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27CFA"/>
    <w:multiLevelType w:val="hybridMultilevel"/>
    <w:tmpl w:val="C2583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517DE"/>
    <w:multiLevelType w:val="hybridMultilevel"/>
    <w:tmpl w:val="9C2A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552B9"/>
    <w:multiLevelType w:val="hybridMultilevel"/>
    <w:tmpl w:val="7CA2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63A62"/>
    <w:multiLevelType w:val="hybridMultilevel"/>
    <w:tmpl w:val="0048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21D3C"/>
    <w:multiLevelType w:val="hybridMultilevel"/>
    <w:tmpl w:val="3A228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971A1"/>
    <w:multiLevelType w:val="hybridMultilevel"/>
    <w:tmpl w:val="EAC2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F3A18"/>
    <w:multiLevelType w:val="hybridMultilevel"/>
    <w:tmpl w:val="C0AE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E7264"/>
    <w:multiLevelType w:val="hybridMultilevel"/>
    <w:tmpl w:val="4C2E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71EDD"/>
    <w:multiLevelType w:val="hybridMultilevel"/>
    <w:tmpl w:val="9AD8B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0731A"/>
    <w:multiLevelType w:val="hybridMultilevel"/>
    <w:tmpl w:val="58F08882"/>
    <w:lvl w:ilvl="0" w:tplc="AF3034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10F1A"/>
    <w:multiLevelType w:val="hybridMultilevel"/>
    <w:tmpl w:val="31F4E57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F9A7243"/>
    <w:multiLevelType w:val="multilevel"/>
    <w:tmpl w:val="48E61B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2813F5D"/>
    <w:multiLevelType w:val="multilevel"/>
    <w:tmpl w:val="48E61B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2C902D7"/>
    <w:multiLevelType w:val="hybridMultilevel"/>
    <w:tmpl w:val="3DD4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C5624"/>
    <w:multiLevelType w:val="multilevel"/>
    <w:tmpl w:val="FC5AD0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49229A"/>
    <w:multiLevelType w:val="multilevel"/>
    <w:tmpl w:val="3C4A69A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CF4322"/>
    <w:multiLevelType w:val="multilevel"/>
    <w:tmpl w:val="0C94CFC4"/>
    <w:lvl w:ilvl="0">
      <w:start w:val="1"/>
      <w:numFmt w:val="decimal"/>
      <w:lvlText w:val="%1.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82B0394"/>
    <w:multiLevelType w:val="hybridMultilevel"/>
    <w:tmpl w:val="D2CC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F0BBD"/>
    <w:multiLevelType w:val="hybridMultilevel"/>
    <w:tmpl w:val="293C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574AC0"/>
    <w:multiLevelType w:val="hybridMultilevel"/>
    <w:tmpl w:val="AC328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20FB9"/>
    <w:multiLevelType w:val="hybridMultilevel"/>
    <w:tmpl w:val="E06E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DD1E84"/>
    <w:multiLevelType w:val="hybridMultilevel"/>
    <w:tmpl w:val="B208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941D7D"/>
    <w:multiLevelType w:val="hybridMultilevel"/>
    <w:tmpl w:val="DD1A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241F0"/>
    <w:multiLevelType w:val="hybridMultilevel"/>
    <w:tmpl w:val="D0E4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41E1D"/>
    <w:multiLevelType w:val="multilevel"/>
    <w:tmpl w:val="9E9E9A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AD477A2"/>
    <w:multiLevelType w:val="hybridMultilevel"/>
    <w:tmpl w:val="B27C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F3B22"/>
    <w:multiLevelType w:val="multilevel"/>
    <w:tmpl w:val="C010D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891E7B"/>
    <w:multiLevelType w:val="multilevel"/>
    <w:tmpl w:val="3030226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4F2326FF"/>
    <w:multiLevelType w:val="hybridMultilevel"/>
    <w:tmpl w:val="8A2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08793B"/>
    <w:multiLevelType w:val="hybridMultilevel"/>
    <w:tmpl w:val="4602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8067A2"/>
    <w:multiLevelType w:val="hybridMultilevel"/>
    <w:tmpl w:val="1DA21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DA5D04"/>
    <w:multiLevelType w:val="multilevel"/>
    <w:tmpl w:val="074673E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55600838"/>
    <w:multiLevelType w:val="multilevel"/>
    <w:tmpl w:val="712E69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8D368E8"/>
    <w:multiLevelType w:val="hybridMultilevel"/>
    <w:tmpl w:val="055E54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D76956"/>
    <w:multiLevelType w:val="hybridMultilevel"/>
    <w:tmpl w:val="B638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4B104D"/>
    <w:multiLevelType w:val="hybridMultilevel"/>
    <w:tmpl w:val="346E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34A3A"/>
    <w:multiLevelType w:val="hybridMultilevel"/>
    <w:tmpl w:val="A7CE3698"/>
    <w:lvl w:ilvl="0" w:tplc="AF3034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4C11EB"/>
    <w:multiLevelType w:val="hybridMultilevel"/>
    <w:tmpl w:val="168AF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0D015A"/>
    <w:multiLevelType w:val="hybridMultilevel"/>
    <w:tmpl w:val="0FB03390"/>
    <w:lvl w:ilvl="0" w:tplc="00DEA6C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05">
      <w:start w:val="1"/>
      <w:numFmt w:val="bullet"/>
      <w:lvlText w:val=""/>
      <w:lvlJc w:val="left"/>
      <w:pPr>
        <w:ind w:left="63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EF0801"/>
    <w:multiLevelType w:val="hybridMultilevel"/>
    <w:tmpl w:val="72E8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D6C28"/>
    <w:multiLevelType w:val="multilevel"/>
    <w:tmpl w:val="C010D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96F73F7"/>
    <w:multiLevelType w:val="hybridMultilevel"/>
    <w:tmpl w:val="49F8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17CF7"/>
    <w:multiLevelType w:val="hybridMultilevel"/>
    <w:tmpl w:val="B858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E60184"/>
    <w:multiLevelType w:val="hybridMultilevel"/>
    <w:tmpl w:val="F1F6ECA0"/>
    <w:lvl w:ilvl="0" w:tplc="04090001">
      <w:start w:val="1"/>
      <w:numFmt w:val="bullet"/>
      <w:lvlText w:val=""/>
      <w:lvlJc w:val="left"/>
      <w:pPr>
        <w:ind w:left="720" w:hanging="360"/>
      </w:pPr>
      <w:rPr>
        <w:rFonts w:ascii="Symbol" w:hAnsi="Symbol" w:hint="default"/>
      </w:rPr>
    </w:lvl>
    <w:lvl w:ilvl="1" w:tplc="924A8E78">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3F133F"/>
    <w:multiLevelType w:val="multilevel"/>
    <w:tmpl w:val="0226E45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7F9F3DC0"/>
    <w:multiLevelType w:val="multilevel"/>
    <w:tmpl w:val="C010D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FCD3137"/>
    <w:multiLevelType w:val="multilevel"/>
    <w:tmpl w:val="185CD7BC"/>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23"/>
  </w:num>
  <w:num w:numId="3">
    <w:abstractNumId w:val="27"/>
  </w:num>
  <w:num w:numId="4">
    <w:abstractNumId w:val="36"/>
  </w:num>
  <w:num w:numId="5">
    <w:abstractNumId w:val="4"/>
  </w:num>
  <w:num w:numId="6">
    <w:abstractNumId w:val="7"/>
  </w:num>
  <w:num w:numId="7">
    <w:abstractNumId w:val="15"/>
  </w:num>
  <w:num w:numId="8">
    <w:abstractNumId w:val="14"/>
  </w:num>
  <w:num w:numId="9">
    <w:abstractNumId w:val="48"/>
  </w:num>
  <w:num w:numId="10">
    <w:abstractNumId w:val="13"/>
  </w:num>
  <w:num w:numId="11">
    <w:abstractNumId w:val="1"/>
  </w:num>
  <w:num w:numId="12">
    <w:abstractNumId w:val="49"/>
  </w:num>
  <w:num w:numId="13">
    <w:abstractNumId w:val="18"/>
  </w:num>
  <w:num w:numId="14">
    <w:abstractNumId w:val="17"/>
  </w:num>
  <w:num w:numId="15">
    <w:abstractNumId w:val="29"/>
  </w:num>
  <w:num w:numId="16">
    <w:abstractNumId w:val="47"/>
  </w:num>
  <w:num w:numId="17">
    <w:abstractNumId w:val="30"/>
  </w:num>
  <w:num w:numId="18">
    <w:abstractNumId w:val="45"/>
  </w:num>
  <w:num w:numId="19">
    <w:abstractNumId w:val="43"/>
  </w:num>
  <w:num w:numId="20">
    <w:abstractNumId w:val="34"/>
  </w:num>
  <w:num w:numId="21">
    <w:abstractNumId w:val="0"/>
  </w:num>
  <w:num w:numId="22">
    <w:abstractNumId w:val="19"/>
  </w:num>
  <w:num w:numId="23">
    <w:abstractNumId w:val="20"/>
  </w:num>
  <w:num w:numId="24">
    <w:abstractNumId w:val="8"/>
  </w:num>
  <w:num w:numId="25">
    <w:abstractNumId w:val="46"/>
  </w:num>
  <w:num w:numId="26">
    <w:abstractNumId w:val="11"/>
  </w:num>
  <w:num w:numId="27">
    <w:abstractNumId w:val="22"/>
  </w:num>
  <w:num w:numId="28">
    <w:abstractNumId w:val="9"/>
  </w:num>
  <w:num w:numId="29">
    <w:abstractNumId w:val="12"/>
  </w:num>
  <w:num w:numId="30">
    <w:abstractNumId w:val="5"/>
  </w:num>
  <w:num w:numId="31">
    <w:abstractNumId w:val="37"/>
  </w:num>
  <w:num w:numId="32">
    <w:abstractNumId w:val="21"/>
  </w:num>
  <w:num w:numId="33">
    <w:abstractNumId w:val="44"/>
  </w:num>
  <w:num w:numId="34">
    <w:abstractNumId w:val="38"/>
  </w:num>
  <w:num w:numId="35">
    <w:abstractNumId w:val="24"/>
  </w:num>
  <w:num w:numId="36">
    <w:abstractNumId w:val="3"/>
  </w:num>
  <w:num w:numId="37">
    <w:abstractNumId w:val="28"/>
  </w:num>
  <w:num w:numId="38">
    <w:abstractNumId w:val="6"/>
  </w:num>
  <w:num w:numId="39">
    <w:abstractNumId w:val="31"/>
  </w:num>
  <w:num w:numId="40">
    <w:abstractNumId w:val="42"/>
  </w:num>
  <w:num w:numId="41">
    <w:abstractNumId w:val="2"/>
  </w:num>
  <w:num w:numId="42">
    <w:abstractNumId w:val="10"/>
  </w:num>
  <w:num w:numId="43">
    <w:abstractNumId w:val="39"/>
  </w:num>
  <w:num w:numId="44">
    <w:abstractNumId w:val="26"/>
  </w:num>
  <w:num w:numId="45">
    <w:abstractNumId w:val="16"/>
  </w:num>
  <w:num w:numId="46">
    <w:abstractNumId w:val="32"/>
  </w:num>
  <w:num w:numId="47">
    <w:abstractNumId w:val="25"/>
  </w:num>
  <w:num w:numId="48">
    <w:abstractNumId w:val="40"/>
  </w:num>
  <w:num w:numId="49">
    <w:abstractNumId w:val="41"/>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DC"/>
    <w:rsid w:val="000006A0"/>
    <w:rsid w:val="000021BD"/>
    <w:rsid w:val="000030FD"/>
    <w:rsid w:val="00010355"/>
    <w:rsid w:val="00020948"/>
    <w:rsid w:val="000218C5"/>
    <w:rsid w:val="00024EAF"/>
    <w:rsid w:val="00031D39"/>
    <w:rsid w:val="00035CDA"/>
    <w:rsid w:val="000423A1"/>
    <w:rsid w:val="00042AFF"/>
    <w:rsid w:val="000444E4"/>
    <w:rsid w:val="00044C96"/>
    <w:rsid w:val="00052E24"/>
    <w:rsid w:val="00053CA9"/>
    <w:rsid w:val="00053E39"/>
    <w:rsid w:val="0006121B"/>
    <w:rsid w:val="00061DBF"/>
    <w:rsid w:val="00064F40"/>
    <w:rsid w:val="00070E5D"/>
    <w:rsid w:val="00084377"/>
    <w:rsid w:val="00085EC5"/>
    <w:rsid w:val="00087CD5"/>
    <w:rsid w:val="00092559"/>
    <w:rsid w:val="00095DB7"/>
    <w:rsid w:val="000A1AF2"/>
    <w:rsid w:val="000B2213"/>
    <w:rsid w:val="000C4E97"/>
    <w:rsid w:val="000C52F3"/>
    <w:rsid w:val="000C6AAA"/>
    <w:rsid w:val="000C6F14"/>
    <w:rsid w:val="000C7997"/>
    <w:rsid w:val="000D1B18"/>
    <w:rsid w:val="000D63FA"/>
    <w:rsid w:val="000E2240"/>
    <w:rsid w:val="000E3F3F"/>
    <w:rsid w:val="000E7367"/>
    <w:rsid w:val="000F3873"/>
    <w:rsid w:val="001007A3"/>
    <w:rsid w:val="00101BB8"/>
    <w:rsid w:val="00102FB5"/>
    <w:rsid w:val="0010361E"/>
    <w:rsid w:val="0010756B"/>
    <w:rsid w:val="00107D10"/>
    <w:rsid w:val="00110D9A"/>
    <w:rsid w:val="00114EBA"/>
    <w:rsid w:val="00120DBF"/>
    <w:rsid w:val="00123A26"/>
    <w:rsid w:val="00124FBE"/>
    <w:rsid w:val="00126C36"/>
    <w:rsid w:val="00127646"/>
    <w:rsid w:val="00127AEE"/>
    <w:rsid w:val="00131AA4"/>
    <w:rsid w:val="0013539B"/>
    <w:rsid w:val="001402D5"/>
    <w:rsid w:val="00142C23"/>
    <w:rsid w:val="001452CE"/>
    <w:rsid w:val="00145B3E"/>
    <w:rsid w:val="00147B87"/>
    <w:rsid w:val="00154066"/>
    <w:rsid w:val="00157ECF"/>
    <w:rsid w:val="0016119C"/>
    <w:rsid w:val="00164564"/>
    <w:rsid w:val="00165E76"/>
    <w:rsid w:val="0016602F"/>
    <w:rsid w:val="00166C24"/>
    <w:rsid w:val="00173243"/>
    <w:rsid w:val="001808DD"/>
    <w:rsid w:val="0018245C"/>
    <w:rsid w:val="0018267D"/>
    <w:rsid w:val="0018465A"/>
    <w:rsid w:val="001864D6"/>
    <w:rsid w:val="001878C4"/>
    <w:rsid w:val="00193E34"/>
    <w:rsid w:val="001963A8"/>
    <w:rsid w:val="001A31FB"/>
    <w:rsid w:val="001A4C5F"/>
    <w:rsid w:val="001A4F9B"/>
    <w:rsid w:val="001A55DC"/>
    <w:rsid w:val="001B267F"/>
    <w:rsid w:val="001B4547"/>
    <w:rsid w:val="001C2550"/>
    <w:rsid w:val="001C44AC"/>
    <w:rsid w:val="001C668E"/>
    <w:rsid w:val="001D00B3"/>
    <w:rsid w:val="001D39B4"/>
    <w:rsid w:val="001D5310"/>
    <w:rsid w:val="001E415B"/>
    <w:rsid w:val="001E4DC9"/>
    <w:rsid w:val="001F04E8"/>
    <w:rsid w:val="001F16B7"/>
    <w:rsid w:val="001F3BC2"/>
    <w:rsid w:val="00201412"/>
    <w:rsid w:val="00204B0D"/>
    <w:rsid w:val="00210269"/>
    <w:rsid w:val="00210690"/>
    <w:rsid w:val="00214219"/>
    <w:rsid w:val="00214243"/>
    <w:rsid w:val="00214E31"/>
    <w:rsid w:val="002153B7"/>
    <w:rsid w:val="00215CE7"/>
    <w:rsid w:val="0021608D"/>
    <w:rsid w:val="0021759E"/>
    <w:rsid w:val="00226592"/>
    <w:rsid w:val="00226720"/>
    <w:rsid w:val="00227FA2"/>
    <w:rsid w:val="00231A80"/>
    <w:rsid w:val="00231BC9"/>
    <w:rsid w:val="00233ADC"/>
    <w:rsid w:val="0023405F"/>
    <w:rsid w:val="00237C33"/>
    <w:rsid w:val="00240458"/>
    <w:rsid w:val="0024098E"/>
    <w:rsid w:val="00243B88"/>
    <w:rsid w:val="00243E8F"/>
    <w:rsid w:val="00245FFA"/>
    <w:rsid w:val="00246108"/>
    <w:rsid w:val="0024741D"/>
    <w:rsid w:val="0024772B"/>
    <w:rsid w:val="002521BC"/>
    <w:rsid w:val="00253FEA"/>
    <w:rsid w:val="0025476F"/>
    <w:rsid w:val="002565B5"/>
    <w:rsid w:val="0025690F"/>
    <w:rsid w:val="0026364E"/>
    <w:rsid w:val="002706DE"/>
    <w:rsid w:val="00272288"/>
    <w:rsid w:val="002736D7"/>
    <w:rsid w:val="00275A41"/>
    <w:rsid w:val="002760C2"/>
    <w:rsid w:val="00282AC2"/>
    <w:rsid w:val="00283644"/>
    <w:rsid w:val="00284B0D"/>
    <w:rsid w:val="00286B72"/>
    <w:rsid w:val="002900AF"/>
    <w:rsid w:val="00292619"/>
    <w:rsid w:val="00295533"/>
    <w:rsid w:val="002977D6"/>
    <w:rsid w:val="002A4AE2"/>
    <w:rsid w:val="002A6F98"/>
    <w:rsid w:val="002B0339"/>
    <w:rsid w:val="002B5415"/>
    <w:rsid w:val="002B5469"/>
    <w:rsid w:val="002C01EB"/>
    <w:rsid w:val="002C41C8"/>
    <w:rsid w:val="002C60D1"/>
    <w:rsid w:val="002D2E22"/>
    <w:rsid w:val="002D5736"/>
    <w:rsid w:val="002D6DEF"/>
    <w:rsid w:val="002D75DF"/>
    <w:rsid w:val="002E28CE"/>
    <w:rsid w:val="002E4DF5"/>
    <w:rsid w:val="002E5718"/>
    <w:rsid w:val="002F1651"/>
    <w:rsid w:val="002F3F29"/>
    <w:rsid w:val="00310CBB"/>
    <w:rsid w:val="00313C21"/>
    <w:rsid w:val="0031482F"/>
    <w:rsid w:val="00317E3B"/>
    <w:rsid w:val="00322C63"/>
    <w:rsid w:val="00323F79"/>
    <w:rsid w:val="003263F4"/>
    <w:rsid w:val="00326504"/>
    <w:rsid w:val="00327266"/>
    <w:rsid w:val="003342F4"/>
    <w:rsid w:val="0034368A"/>
    <w:rsid w:val="00343828"/>
    <w:rsid w:val="00347330"/>
    <w:rsid w:val="00356972"/>
    <w:rsid w:val="00356D3B"/>
    <w:rsid w:val="00357068"/>
    <w:rsid w:val="00360051"/>
    <w:rsid w:val="003606B1"/>
    <w:rsid w:val="00361FF2"/>
    <w:rsid w:val="003647A6"/>
    <w:rsid w:val="0036695D"/>
    <w:rsid w:val="0037084E"/>
    <w:rsid w:val="00373B5D"/>
    <w:rsid w:val="00381D07"/>
    <w:rsid w:val="0038589F"/>
    <w:rsid w:val="00386854"/>
    <w:rsid w:val="003940E2"/>
    <w:rsid w:val="00396515"/>
    <w:rsid w:val="00396C2E"/>
    <w:rsid w:val="00397BB6"/>
    <w:rsid w:val="003A13E0"/>
    <w:rsid w:val="003A472E"/>
    <w:rsid w:val="003A6BC9"/>
    <w:rsid w:val="003A72DF"/>
    <w:rsid w:val="003B0B63"/>
    <w:rsid w:val="003B6773"/>
    <w:rsid w:val="003B6C5B"/>
    <w:rsid w:val="003B77E3"/>
    <w:rsid w:val="003C14CC"/>
    <w:rsid w:val="003C4504"/>
    <w:rsid w:val="003C56BF"/>
    <w:rsid w:val="003D4E4A"/>
    <w:rsid w:val="003D4FAF"/>
    <w:rsid w:val="003E298A"/>
    <w:rsid w:val="003E2AF4"/>
    <w:rsid w:val="003E4003"/>
    <w:rsid w:val="003E607F"/>
    <w:rsid w:val="003F2D46"/>
    <w:rsid w:val="003F4C33"/>
    <w:rsid w:val="003F6B91"/>
    <w:rsid w:val="004003B6"/>
    <w:rsid w:val="004007E9"/>
    <w:rsid w:val="00405D56"/>
    <w:rsid w:val="00411042"/>
    <w:rsid w:val="00431600"/>
    <w:rsid w:val="004353F3"/>
    <w:rsid w:val="0043787A"/>
    <w:rsid w:val="00437914"/>
    <w:rsid w:val="00437CF8"/>
    <w:rsid w:val="004403C6"/>
    <w:rsid w:val="004428ED"/>
    <w:rsid w:val="00445451"/>
    <w:rsid w:val="00445B0F"/>
    <w:rsid w:val="00446413"/>
    <w:rsid w:val="004540CA"/>
    <w:rsid w:val="00454FAD"/>
    <w:rsid w:val="00460A39"/>
    <w:rsid w:val="00470071"/>
    <w:rsid w:val="00472B28"/>
    <w:rsid w:val="00473A16"/>
    <w:rsid w:val="00475193"/>
    <w:rsid w:val="004765DD"/>
    <w:rsid w:val="004808E4"/>
    <w:rsid w:val="00480C9D"/>
    <w:rsid w:val="00481705"/>
    <w:rsid w:val="004837FC"/>
    <w:rsid w:val="00483A48"/>
    <w:rsid w:val="00485A5F"/>
    <w:rsid w:val="00490696"/>
    <w:rsid w:val="00495759"/>
    <w:rsid w:val="004A1DC7"/>
    <w:rsid w:val="004A2AAE"/>
    <w:rsid w:val="004A391F"/>
    <w:rsid w:val="004A44A0"/>
    <w:rsid w:val="004A616E"/>
    <w:rsid w:val="004A662A"/>
    <w:rsid w:val="004A6FAB"/>
    <w:rsid w:val="004B19D5"/>
    <w:rsid w:val="004B230E"/>
    <w:rsid w:val="004B454C"/>
    <w:rsid w:val="004C1999"/>
    <w:rsid w:val="004C2A4A"/>
    <w:rsid w:val="004C5BF1"/>
    <w:rsid w:val="004C71AC"/>
    <w:rsid w:val="004C7728"/>
    <w:rsid w:val="004D0493"/>
    <w:rsid w:val="004D0EA2"/>
    <w:rsid w:val="004D1029"/>
    <w:rsid w:val="004D1484"/>
    <w:rsid w:val="004D2DC6"/>
    <w:rsid w:val="004E2761"/>
    <w:rsid w:val="004F3192"/>
    <w:rsid w:val="004F3CCD"/>
    <w:rsid w:val="004F59C5"/>
    <w:rsid w:val="004F652B"/>
    <w:rsid w:val="004F6801"/>
    <w:rsid w:val="004F6D5D"/>
    <w:rsid w:val="004F792B"/>
    <w:rsid w:val="00500DAB"/>
    <w:rsid w:val="0050273E"/>
    <w:rsid w:val="00502FD5"/>
    <w:rsid w:val="0050337E"/>
    <w:rsid w:val="00510C1A"/>
    <w:rsid w:val="00513CFE"/>
    <w:rsid w:val="00516CAB"/>
    <w:rsid w:val="005177E0"/>
    <w:rsid w:val="00522C42"/>
    <w:rsid w:val="00523D78"/>
    <w:rsid w:val="00532564"/>
    <w:rsid w:val="00536D39"/>
    <w:rsid w:val="005404C1"/>
    <w:rsid w:val="00551E53"/>
    <w:rsid w:val="00554D2B"/>
    <w:rsid w:val="00563401"/>
    <w:rsid w:val="005662B7"/>
    <w:rsid w:val="00567EB2"/>
    <w:rsid w:val="0057628E"/>
    <w:rsid w:val="00580F79"/>
    <w:rsid w:val="005907B0"/>
    <w:rsid w:val="005915F9"/>
    <w:rsid w:val="00592996"/>
    <w:rsid w:val="005938D7"/>
    <w:rsid w:val="00597BD2"/>
    <w:rsid w:val="005A006C"/>
    <w:rsid w:val="005A09E2"/>
    <w:rsid w:val="005A4DA3"/>
    <w:rsid w:val="005A524E"/>
    <w:rsid w:val="005B3862"/>
    <w:rsid w:val="005B4B2A"/>
    <w:rsid w:val="005C1B9F"/>
    <w:rsid w:val="005C1CC1"/>
    <w:rsid w:val="005C2C32"/>
    <w:rsid w:val="005D41DD"/>
    <w:rsid w:val="005E2B76"/>
    <w:rsid w:val="005F32B6"/>
    <w:rsid w:val="005F494F"/>
    <w:rsid w:val="00602B81"/>
    <w:rsid w:val="00610993"/>
    <w:rsid w:val="006139EE"/>
    <w:rsid w:val="00621D20"/>
    <w:rsid w:val="00627BA7"/>
    <w:rsid w:val="00637FD3"/>
    <w:rsid w:val="0064286A"/>
    <w:rsid w:val="00645971"/>
    <w:rsid w:val="006460AB"/>
    <w:rsid w:val="006477A2"/>
    <w:rsid w:val="00647C72"/>
    <w:rsid w:val="00650018"/>
    <w:rsid w:val="00651582"/>
    <w:rsid w:val="00665000"/>
    <w:rsid w:val="0067116E"/>
    <w:rsid w:val="00674CB4"/>
    <w:rsid w:val="0068128C"/>
    <w:rsid w:val="0068514B"/>
    <w:rsid w:val="00687655"/>
    <w:rsid w:val="0069654C"/>
    <w:rsid w:val="00696ED3"/>
    <w:rsid w:val="006A0096"/>
    <w:rsid w:val="006A2669"/>
    <w:rsid w:val="006A3590"/>
    <w:rsid w:val="006A6235"/>
    <w:rsid w:val="006A7F75"/>
    <w:rsid w:val="006B048A"/>
    <w:rsid w:val="006B0E1B"/>
    <w:rsid w:val="006B1CB9"/>
    <w:rsid w:val="006B268C"/>
    <w:rsid w:val="006C23F3"/>
    <w:rsid w:val="006C2FF5"/>
    <w:rsid w:val="006C33A1"/>
    <w:rsid w:val="006C69A5"/>
    <w:rsid w:val="006D0D4E"/>
    <w:rsid w:val="006D64F4"/>
    <w:rsid w:val="006D654F"/>
    <w:rsid w:val="006F2301"/>
    <w:rsid w:val="006F2D72"/>
    <w:rsid w:val="006F3788"/>
    <w:rsid w:val="006F44EE"/>
    <w:rsid w:val="00701594"/>
    <w:rsid w:val="007127A7"/>
    <w:rsid w:val="0071454F"/>
    <w:rsid w:val="007154F2"/>
    <w:rsid w:val="007155F5"/>
    <w:rsid w:val="00717639"/>
    <w:rsid w:val="00720C48"/>
    <w:rsid w:val="0072113A"/>
    <w:rsid w:val="00722D38"/>
    <w:rsid w:val="00723966"/>
    <w:rsid w:val="007242CF"/>
    <w:rsid w:val="007248C5"/>
    <w:rsid w:val="00731301"/>
    <w:rsid w:val="0073660F"/>
    <w:rsid w:val="00737DB6"/>
    <w:rsid w:val="007466A4"/>
    <w:rsid w:val="00751CC1"/>
    <w:rsid w:val="00753B17"/>
    <w:rsid w:val="0075548A"/>
    <w:rsid w:val="00757404"/>
    <w:rsid w:val="00760CBF"/>
    <w:rsid w:val="007633BD"/>
    <w:rsid w:val="00771615"/>
    <w:rsid w:val="00777BFC"/>
    <w:rsid w:val="007818A5"/>
    <w:rsid w:val="00790B0D"/>
    <w:rsid w:val="00792516"/>
    <w:rsid w:val="00793FC7"/>
    <w:rsid w:val="007941EE"/>
    <w:rsid w:val="007A17B9"/>
    <w:rsid w:val="007A1AFE"/>
    <w:rsid w:val="007A3110"/>
    <w:rsid w:val="007A69B7"/>
    <w:rsid w:val="007A70E4"/>
    <w:rsid w:val="007A76B4"/>
    <w:rsid w:val="007B03D3"/>
    <w:rsid w:val="007B49A4"/>
    <w:rsid w:val="007B4B2C"/>
    <w:rsid w:val="007B5809"/>
    <w:rsid w:val="007C014D"/>
    <w:rsid w:val="007C2565"/>
    <w:rsid w:val="007C392B"/>
    <w:rsid w:val="007D150E"/>
    <w:rsid w:val="007D430B"/>
    <w:rsid w:val="007E0D33"/>
    <w:rsid w:val="007E3A50"/>
    <w:rsid w:val="007E6DF2"/>
    <w:rsid w:val="007E777C"/>
    <w:rsid w:val="007E7F9D"/>
    <w:rsid w:val="007F0EBC"/>
    <w:rsid w:val="007F5BE7"/>
    <w:rsid w:val="007F5D88"/>
    <w:rsid w:val="007F65E6"/>
    <w:rsid w:val="007F76A5"/>
    <w:rsid w:val="00801617"/>
    <w:rsid w:val="008053BC"/>
    <w:rsid w:val="00805E44"/>
    <w:rsid w:val="00811B8D"/>
    <w:rsid w:val="00816299"/>
    <w:rsid w:val="00816375"/>
    <w:rsid w:val="008237BC"/>
    <w:rsid w:val="0082618E"/>
    <w:rsid w:val="00826315"/>
    <w:rsid w:val="00826A11"/>
    <w:rsid w:val="00826BE6"/>
    <w:rsid w:val="0082712D"/>
    <w:rsid w:val="0083391F"/>
    <w:rsid w:val="00835645"/>
    <w:rsid w:val="008361B5"/>
    <w:rsid w:val="00837A91"/>
    <w:rsid w:val="00837DA3"/>
    <w:rsid w:val="00841478"/>
    <w:rsid w:val="00843C48"/>
    <w:rsid w:val="00846D82"/>
    <w:rsid w:val="00850911"/>
    <w:rsid w:val="00855752"/>
    <w:rsid w:val="00856FF9"/>
    <w:rsid w:val="0086080D"/>
    <w:rsid w:val="0086111B"/>
    <w:rsid w:val="00861D3E"/>
    <w:rsid w:val="00861D5A"/>
    <w:rsid w:val="00861DBB"/>
    <w:rsid w:val="00862FCE"/>
    <w:rsid w:val="00872EE6"/>
    <w:rsid w:val="00881659"/>
    <w:rsid w:val="00882DAF"/>
    <w:rsid w:val="008845F6"/>
    <w:rsid w:val="00885145"/>
    <w:rsid w:val="008871B5"/>
    <w:rsid w:val="0088772B"/>
    <w:rsid w:val="00890057"/>
    <w:rsid w:val="008931E0"/>
    <w:rsid w:val="008A0122"/>
    <w:rsid w:val="008A083C"/>
    <w:rsid w:val="008A254A"/>
    <w:rsid w:val="008A2A7C"/>
    <w:rsid w:val="008A4C44"/>
    <w:rsid w:val="008B2671"/>
    <w:rsid w:val="008B2982"/>
    <w:rsid w:val="008B48B0"/>
    <w:rsid w:val="008B6836"/>
    <w:rsid w:val="008C71AD"/>
    <w:rsid w:val="008C7F12"/>
    <w:rsid w:val="008D0546"/>
    <w:rsid w:val="008D37B2"/>
    <w:rsid w:val="008D7472"/>
    <w:rsid w:val="008E21D7"/>
    <w:rsid w:val="008E2AF8"/>
    <w:rsid w:val="008E4842"/>
    <w:rsid w:val="008F107E"/>
    <w:rsid w:val="008F5407"/>
    <w:rsid w:val="009016C3"/>
    <w:rsid w:val="00903126"/>
    <w:rsid w:val="00906384"/>
    <w:rsid w:val="00907E6F"/>
    <w:rsid w:val="00912CDB"/>
    <w:rsid w:val="00916C15"/>
    <w:rsid w:val="00921E71"/>
    <w:rsid w:val="00924C76"/>
    <w:rsid w:val="00926EE3"/>
    <w:rsid w:val="00931504"/>
    <w:rsid w:val="00931E62"/>
    <w:rsid w:val="00931F4A"/>
    <w:rsid w:val="009362C7"/>
    <w:rsid w:val="00937099"/>
    <w:rsid w:val="009447D1"/>
    <w:rsid w:val="009469DF"/>
    <w:rsid w:val="00947203"/>
    <w:rsid w:val="00947BC7"/>
    <w:rsid w:val="00950CB3"/>
    <w:rsid w:val="00954C5B"/>
    <w:rsid w:val="009565C3"/>
    <w:rsid w:val="0096014F"/>
    <w:rsid w:val="009607DF"/>
    <w:rsid w:val="009660AF"/>
    <w:rsid w:val="00971915"/>
    <w:rsid w:val="00972741"/>
    <w:rsid w:val="00974A2A"/>
    <w:rsid w:val="00975B2B"/>
    <w:rsid w:val="00975D60"/>
    <w:rsid w:val="0098431A"/>
    <w:rsid w:val="009856B6"/>
    <w:rsid w:val="009867A5"/>
    <w:rsid w:val="009A4272"/>
    <w:rsid w:val="009B3F0C"/>
    <w:rsid w:val="009B6F49"/>
    <w:rsid w:val="009C01BE"/>
    <w:rsid w:val="009C3559"/>
    <w:rsid w:val="009C6FF6"/>
    <w:rsid w:val="009E0D4D"/>
    <w:rsid w:val="009E5611"/>
    <w:rsid w:val="009E665A"/>
    <w:rsid w:val="009F1524"/>
    <w:rsid w:val="009F7C01"/>
    <w:rsid w:val="00A03536"/>
    <w:rsid w:val="00A14DA1"/>
    <w:rsid w:val="00A1637C"/>
    <w:rsid w:val="00A16DBA"/>
    <w:rsid w:val="00A210A5"/>
    <w:rsid w:val="00A25D38"/>
    <w:rsid w:val="00A30B3E"/>
    <w:rsid w:val="00A32A0C"/>
    <w:rsid w:val="00A424FA"/>
    <w:rsid w:val="00A47685"/>
    <w:rsid w:val="00A533EA"/>
    <w:rsid w:val="00A53EE1"/>
    <w:rsid w:val="00A54362"/>
    <w:rsid w:val="00A617FB"/>
    <w:rsid w:val="00A6409D"/>
    <w:rsid w:val="00A65AA0"/>
    <w:rsid w:val="00A71B2B"/>
    <w:rsid w:val="00A726A5"/>
    <w:rsid w:val="00A72A72"/>
    <w:rsid w:val="00A76DB5"/>
    <w:rsid w:val="00A771E2"/>
    <w:rsid w:val="00A807F8"/>
    <w:rsid w:val="00A850E9"/>
    <w:rsid w:val="00A87E79"/>
    <w:rsid w:val="00A91DC3"/>
    <w:rsid w:val="00A94E06"/>
    <w:rsid w:val="00A9582E"/>
    <w:rsid w:val="00A9703D"/>
    <w:rsid w:val="00AA1DD3"/>
    <w:rsid w:val="00AA3078"/>
    <w:rsid w:val="00AB0C27"/>
    <w:rsid w:val="00AB1EE5"/>
    <w:rsid w:val="00AB2524"/>
    <w:rsid w:val="00AC3A83"/>
    <w:rsid w:val="00AC4267"/>
    <w:rsid w:val="00AC568F"/>
    <w:rsid w:val="00AC6519"/>
    <w:rsid w:val="00AC7BF1"/>
    <w:rsid w:val="00AD1EFE"/>
    <w:rsid w:val="00AD267A"/>
    <w:rsid w:val="00AD5113"/>
    <w:rsid w:val="00AE0B9D"/>
    <w:rsid w:val="00AF26FC"/>
    <w:rsid w:val="00AF2EE7"/>
    <w:rsid w:val="00AF39F2"/>
    <w:rsid w:val="00AF3C3A"/>
    <w:rsid w:val="00AF6943"/>
    <w:rsid w:val="00AF780A"/>
    <w:rsid w:val="00AF7E38"/>
    <w:rsid w:val="00B00198"/>
    <w:rsid w:val="00B024B4"/>
    <w:rsid w:val="00B03BCE"/>
    <w:rsid w:val="00B05362"/>
    <w:rsid w:val="00B0551A"/>
    <w:rsid w:val="00B11BB9"/>
    <w:rsid w:val="00B163B2"/>
    <w:rsid w:val="00B16AA2"/>
    <w:rsid w:val="00B207F0"/>
    <w:rsid w:val="00B20927"/>
    <w:rsid w:val="00B21DAB"/>
    <w:rsid w:val="00B222B0"/>
    <w:rsid w:val="00B2406A"/>
    <w:rsid w:val="00B26228"/>
    <w:rsid w:val="00B276E3"/>
    <w:rsid w:val="00B27D82"/>
    <w:rsid w:val="00B30D87"/>
    <w:rsid w:val="00B34734"/>
    <w:rsid w:val="00B37267"/>
    <w:rsid w:val="00B40E91"/>
    <w:rsid w:val="00B41C86"/>
    <w:rsid w:val="00B436B2"/>
    <w:rsid w:val="00B457B6"/>
    <w:rsid w:val="00B46CF0"/>
    <w:rsid w:val="00B47172"/>
    <w:rsid w:val="00B502B4"/>
    <w:rsid w:val="00B513ED"/>
    <w:rsid w:val="00B56063"/>
    <w:rsid w:val="00B61382"/>
    <w:rsid w:val="00B67B78"/>
    <w:rsid w:val="00B70904"/>
    <w:rsid w:val="00B7213F"/>
    <w:rsid w:val="00B80AE4"/>
    <w:rsid w:val="00B87D0B"/>
    <w:rsid w:val="00B93BB6"/>
    <w:rsid w:val="00B93E0E"/>
    <w:rsid w:val="00B956E6"/>
    <w:rsid w:val="00BA1909"/>
    <w:rsid w:val="00BA2340"/>
    <w:rsid w:val="00BA29BD"/>
    <w:rsid w:val="00BA3739"/>
    <w:rsid w:val="00BB12DC"/>
    <w:rsid w:val="00BB5ACE"/>
    <w:rsid w:val="00BC3486"/>
    <w:rsid w:val="00BC4BBB"/>
    <w:rsid w:val="00BC4FBE"/>
    <w:rsid w:val="00BD391D"/>
    <w:rsid w:val="00BD4A9B"/>
    <w:rsid w:val="00BE1A3D"/>
    <w:rsid w:val="00BE72E7"/>
    <w:rsid w:val="00BE74B4"/>
    <w:rsid w:val="00BF5D41"/>
    <w:rsid w:val="00BF72CC"/>
    <w:rsid w:val="00C00E1D"/>
    <w:rsid w:val="00C1446A"/>
    <w:rsid w:val="00C1476A"/>
    <w:rsid w:val="00C16AF4"/>
    <w:rsid w:val="00C22456"/>
    <w:rsid w:val="00C25096"/>
    <w:rsid w:val="00C3258C"/>
    <w:rsid w:val="00C32AC5"/>
    <w:rsid w:val="00C3398A"/>
    <w:rsid w:val="00C3401D"/>
    <w:rsid w:val="00C40994"/>
    <w:rsid w:val="00C451E7"/>
    <w:rsid w:val="00C45D5F"/>
    <w:rsid w:val="00C46473"/>
    <w:rsid w:val="00C47668"/>
    <w:rsid w:val="00C476C2"/>
    <w:rsid w:val="00C47A2E"/>
    <w:rsid w:val="00C50D48"/>
    <w:rsid w:val="00C537ED"/>
    <w:rsid w:val="00C55AB6"/>
    <w:rsid w:val="00C631A9"/>
    <w:rsid w:val="00C6379C"/>
    <w:rsid w:val="00C63E59"/>
    <w:rsid w:val="00C65509"/>
    <w:rsid w:val="00C6613E"/>
    <w:rsid w:val="00C7119A"/>
    <w:rsid w:val="00C722E9"/>
    <w:rsid w:val="00C7428B"/>
    <w:rsid w:val="00C81882"/>
    <w:rsid w:val="00C86D27"/>
    <w:rsid w:val="00C879A7"/>
    <w:rsid w:val="00C90282"/>
    <w:rsid w:val="00C913F2"/>
    <w:rsid w:val="00C92DF8"/>
    <w:rsid w:val="00C93AA1"/>
    <w:rsid w:val="00C96527"/>
    <w:rsid w:val="00CA3749"/>
    <w:rsid w:val="00CA6C22"/>
    <w:rsid w:val="00CA7E8C"/>
    <w:rsid w:val="00CB0E6D"/>
    <w:rsid w:val="00CB7B3E"/>
    <w:rsid w:val="00CC29D1"/>
    <w:rsid w:val="00CC3BFC"/>
    <w:rsid w:val="00CC4FF5"/>
    <w:rsid w:val="00CC6F8D"/>
    <w:rsid w:val="00CD70A7"/>
    <w:rsid w:val="00CD7C41"/>
    <w:rsid w:val="00CE1974"/>
    <w:rsid w:val="00CE5015"/>
    <w:rsid w:val="00CE6D64"/>
    <w:rsid w:val="00CE78C4"/>
    <w:rsid w:val="00CF09AC"/>
    <w:rsid w:val="00CF23C3"/>
    <w:rsid w:val="00CF49B4"/>
    <w:rsid w:val="00CF626A"/>
    <w:rsid w:val="00CF7525"/>
    <w:rsid w:val="00D01103"/>
    <w:rsid w:val="00D02981"/>
    <w:rsid w:val="00D0649D"/>
    <w:rsid w:val="00D138C1"/>
    <w:rsid w:val="00D166D2"/>
    <w:rsid w:val="00D22D2B"/>
    <w:rsid w:val="00D23CA6"/>
    <w:rsid w:val="00D31328"/>
    <w:rsid w:val="00D333A3"/>
    <w:rsid w:val="00D378E2"/>
    <w:rsid w:val="00D40C9F"/>
    <w:rsid w:val="00D41A7E"/>
    <w:rsid w:val="00D43B66"/>
    <w:rsid w:val="00D43E69"/>
    <w:rsid w:val="00D4660D"/>
    <w:rsid w:val="00D47597"/>
    <w:rsid w:val="00D521BB"/>
    <w:rsid w:val="00D578DD"/>
    <w:rsid w:val="00D63CC9"/>
    <w:rsid w:val="00D65A1D"/>
    <w:rsid w:val="00D670B0"/>
    <w:rsid w:val="00D676D1"/>
    <w:rsid w:val="00D73F44"/>
    <w:rsid w:val="00D74C6A"/>
    <w:rsid w:val="00D74E0C"/>
    <w:rsid w:val="00D7543E"/>
    <w:rsid w:val="00D84B39"/>
    <w:rsid w:val="00D91D37"/>
    <w:rsid w:val="00D92F6E"/>
    <w:rsid w:val="00DA0933"/>
    <w:rsid w:val="00DA10D5"/>
    <w:rsid w:val="00DB5DD6"/>
    <w:rsid w:val="00DB692B"/>
    <w:rsid w:val="00DB785D"/>
    <w:rsid w:val="00DD31C0"/>
    <w:rsid w:val="00DD3E29"/>
    <w:rsid w:val="00DD56CE"/>
    <w:rsid w:val="00DE04A7"/>
    <w:rsid w:val="00DE1404"/>
    <w:rsid w:val="00DE64AE"/>
    <w:rsid w:val="00DE7B0B"/>
    <w:rsid w:val="00DF172C"/>
    <w:rsid w:val="00DF2181"/>
    <w:rsid w:val="00DF26AD"/>
    <w:rsid w:val="00DF295D"/>
    <w:rsid w:val="00DF5536"/>
    <w:rsid w:val="00DF6672"/>
    <w:rsid w:val="00E00899"/>
    <w:rsid w:val="00E121A1"/>
    <w:rsid w:val="00E135B9"/>
    <w:rsid w:val="00E14A60"/>
    <w:rsid w:val="00E16010"/>
    <w:rsid w:val="00E1692F"/>
    <w:rsid w:val="00E202A3"/>
    <w:rsid w:val="00E21952"/>
    <w:rsid w:val="00E22745"/>
    <w:rsid w:val="00E2318A"/>
    <w:rsid w:val="00E24467"/>
    <w:rsid w:val="00E27D67"/>
    <w:rsid w:val="00E3785E"/>
    <w:rsid w:val="00E44A29"/>
    <w:rsid w:val="00E47055"/>
    <w:rsid w:val="00E51CFD"/>
    <w:rsid w:val="00E56DED"/>
    <w:rsid w:val="00E6062F"/>
    <w:rsid w:val="00E60E22"/>
    <w:rsid w:val="00E639F5"/>
    <w:rsid w:val="00E65FA8"/>
    <w:rsid w:val="00E66DA8"/>
    <w:rsid w:val="00E679C6"/>
    <w:rsid w:val="00E71BD8"/>
    <w:rsid w:val="00E721EE"/>
    <w:rsid w:val="00E736C0"/>
    <w:rsid w:val="00E73D9E"/>
    <w:rsid w:val="00E74B32"/>
    <w:rsid w:val="00E90B01"/>
    <w:rsid w:val="00E9343D"/>
    <w:rsid w:val="00EA1EBF"/>
    <w:rsid w:val="00EA330D"/>
    <w:rsid w:val="00EA356F"/>
    <w:rsid w:val="00EA4924"/>
    <w:rsid w:val="00EB06D1"/>
    <w:rsid w:val="00EB06E3"/>
    <w:rsid w:val="00EB1CC4"/>
    <w:rsid w:val="00EB23BC"/>
    <w:rsid w:val="00EC5C88"/>
    <w:rsid w:val="00EC7AED"/>
    <w:rsid w:val="00EC7C6F"/>
    <w:rsid w:val="00ED15BB"/>
    <w:rsid w:val="00ED1DCD"/>
    <w:rsid w:val="00ED3E3B"/>
    <w:rsid w:val="00ED619F"/>
    <w:rsid w:val="00EE1862"/>
    <w:rsid w:val="00EE3F9F"/>
    <w:rsid w:val="00EF0640"/>
    <w:rsid w:val="00EF205E"/>
    <w:rsid w:val="00EF40D8"/>
    <w:rsid w:val="00EF42AD"/>
    <w:rsid w:val="00EF5CF1"/>
    <w:rsid w:val="00EF6113"/>
    <w:rsid w:val="00EF7893"/>
    <w:rsid w:val="00F0093C"/>
    <w:rsid w:val="00F01CF4"/>
    <w:rsid w:val="00F01D02"/>
    <w:rsid w:val="00F051AE"/>
    <w:rsid w:val="00F1167E"/>
    <w:rsid w:val="00F149EE"/>
    <w:rsid w:val="00F14D74"/>
    <w:rsid w:val="00F16F14"/>
    <w:rsid w:val="00F213AA"/>
    <w:rsid w:val="00F24049"/>
    <w:rsid w:val="00F276E9"/>
    <w:rsid w:val="00F27D10"/>
    <w:rsid w:val="00F3793A"/>
    <w:rsid w:val="00F4222E"/>
    <w:rsid w:val="00F43AFA"/>
    <w:rsid w:val="00F43D81"/>
    <w:rsid w:val="00F477C4"/>
    <w:rsid w:val="00F536CB"/>
    <w:rsid w:val="00F60978"/>
    <w:rsid w:val="00F62A36"/>
    <w:rsid w:val="00F62D40"/>
    <w:rsid w:val="00F62F6E"/>
    <w:rsid w:val="00F83595"/>
    <w:rsid w:val="00F83B7D"/>
    <w:rsid w:val="00F922E3"/>
    <w:rsid w:val="00F93CC0"/>
    <w:rsid w:val="00FA019E"/>
    <w:rsid w:val="00FA1295"/>
    <w:rsid w:val="00FA30B9"/>
    <w:rsid w:val="00FA3CD2"/>
    <w:rsid w:val="00FB0287"/>
    <w:rsid w:val="00FB4776"/>
    <w:rsid w:val="00FB48C2"/>
    <w:rsid w:val="00FB64B3"/>
    <w:rsid w:val="00FC160C"/>
    <w:rsid w:val="00FC325F"/>
    <w:rsid w:val="00FC4522"/>
    <w:rsid w:val="00FC704D"/>
    <w:rsid w:val="00FD0466"/>
    <w:rsid w:val="00FD3AF2"/>
    <w:rsid w:val="00FE22B4"/>
    <w:rsid w:val="00FF01E5"/>
    <w:rsid w:val="00FF5E96"/>
    <w:rsid w:val="00FF76FF"/>
    <w:rsid w:val="00FF7B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B433C1-7BBC-47CB-AA92-51C631D6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GWC"/>
    <w:qFormat/>
    <w:rsid w:val="00A87E79"/>
    <w:rPr>
      <w:rFonts w:ascii="Arial Narrow" w:hAnsi="Arial Narrow"/>
    </w:rPr>
  </w:style>
  <w:style w:type="paragraph" w:styleId="Heading1">
    <w:name w:val="heading 1"/>
    <w:basedOn w:val="Normal"/>
    <w:next w:val="Normal"/>
    <w:link w:val="Heading1Char"/>
    <w:uiPriority w:val="9"/>
    <w:qFormat/>
    <w:rsid w:val="001F3BC2"/>
    <w:pPr>
      <w:keepNext/>
      <w:keepLines/>
      <w:spacing w:before="480" w:after="0"/>
      <w:outlineLvl w:val="0"/>
    </w:pPr>
    <w:rPr>
      <w:rFonts w:asciiTheme="majorHAnsi" w:eastAsiaTheme="majorEastAsia" w:hAnsiTheme="majorHAnsi" w:cstheme="majorBidi"/>
      <w:b/>
      <w:bCs/>
      <w:color w:val="004A48" w:themeColor="accent1" w:themeShade="BF"/>
      <w:sz w:val="28"/>
      <w:szCs w:val="28"/>
    </w:rPr>
  </w:style>
  <w:style w:type="paragraph" w:styleId="Heading2">
    <w:name w:val="heading 2"/>
    <w:basedOn w:val="Normal"/>
    <w:next w:val="Normal"/>
    <w:link w:val="Heading2Char"/>
    <w:uiPriority w:val="9"/>
    <w:unhideWhenUsed/>
    <w:qFormat/>
    <w:rsid w:val="00BA1909"/>
    <w:pPr>
      <w:keepNext/>
      <w:keepLines/>
      <w:spacing w:before="200" w:after="0"/>
      <w:outlineLvl w:val="1"/>
    </w:pPr>
    <w:rPr>
      <w:rFonts w:asciiTheme="majorHAnsi" w:eastAsiaTheme="majorEastAsia" w:hAnsiTheme="majorHAnsi" w:cstheme="majorBidi"/>
      <w:b/>
      <w:bCs/>
      <w:color w:val="006462" w:themeColor="accent1"/>
      <w:sz w:val="26"/>
      <w:szCs w:val="26"/>
    </w:rPr>
  </w:style>
  <w:style w:type="paragraph" w:styleId="Heading3">
    <w:name w:val="heading 3"/>
    <w:basedOn w:val="Normal"/>
    <w:next w:val="Normal"/>
    <w:link w:val="Heading3Char"/>
    <w:uiPriority w:val="9"/>
    <w:unhideWhenUsed/>
    <w:qFormat/>
    <w:rsid w:val="00A30B3E"/>
    <w:pPr>
      <w:keepNext/>
      <w:keepLines/>
      <w:spacing w:before="200" w:after="0"/>
      <w:outlineLvl w:val="2"/>
    </w:pPr>
    <w:rPr>
      <w:rFonts w:eastAsiaTheme="majorEastAsia" w:cstheme="majorBidi"/>
      <w:b/>
      <w:bCs/>
      <w:color w:val="006462" w:themeColor="accent1"/>
    </w:rPr>
  </w:style>
  <w:style w:type="paragraph" w:styleId="Heading4">
    <w:name w:val="heading 4"/>
    <w:basedOn w:val="Normal"/>
    <w:next w:val="Normal"/>
    <w:link w:val="Heading4Char"/>
    <w:uiPriority w:val="9"/>
    <w:unhideWhenUsed/>
    <w:qFormat/>
    <w:rsid w:val="00B61382"/>
    <w:pPr>
      <w:keepNext/>
      <w:keepLines/>
      <w:spacing w:before="200" w:after="0"/>
      <w:outlineLvl w:val="3"/>
    </w:pPr>
    <w:rPr>
      <w:rFonts w:asciiTheme="majorHAnsi" w:eastAsiaTheme="majorEastAsia" w:hAnsiTheme="majorHAnsi" w:cstheme="majorBidi"/>
      <w:b/>
      <w:bCs/>
      <w:i/>
      <w:iCs/>
      <w:color w:val="00646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3A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33ADC"/>
    <w:rPr>
      <w:rFonts w:eastAsiaTheme="minorEastAsia"/>
      <w:lang w:val="en-US" w:eastAsia="ja-JP"/>
    </w:rPr>
  </w:style>
  <w:style w:type="paragraph" w:styleId="Header">
    <w:name w:val="header"/>
    <w:basedOn w:val="Normal"/>
    <w:link w:val="HeaderChar"/>
    <w:uiPriority w:val="99"/>
    <w:unhideWhenUsed/>
    <w:rsid w:val="00233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DC"/>
  </w:style>
  <w:style w:type="paragraph" w:styleId="Footer">
    <w:name w:val="footer"/>
    <w:basedOn w:val="Normal"/>
    <w:link w:val="FooterChar"/>
    <w:uiPriority w:val="99"/>
    <w:unhideWhenUsed/>
    <w:rsid w:val="00233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DC"/>
  </w:style>
  <w:style w:type="table" w:styleId="TableGrid">
    <w:name w:val="Table Grid"/>
    <w:basedOn w:val="TableNormal"/>
    <w:uiPriority w:val="59"/>
    <w:rsid w:val="00233ADC"/>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1F3BC2"/>
    <w:rPr>
      <w:b/>
      <w:bCs/>
    </w:rPr>
  </w:style>
  <w:style w:type="paragraph" w:styleId="Title">
    <w:name w:val="Title"/>
    <w:basedOn w:val="Normal"/>
    <w:next w:val="Normal"/>
    <w:link w:val="TitleChar"/>
    <w:uiPriority w:val="10"/>
    <w:qFormat/>
    <w:rsid w:val="001F3BC2"/>
    <w:pPr>
      <w:pBdr>
        <w:bottom w:val="single" w:sz="8" w:space="4" w:color="006462"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BC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F3BC2"/>
    <w:rPr>
      <w:rFonts w:asciiTheme="majorHAnsi" w:eastAsiaTheme="majorEastAsia" w:hAnsiTheme="majorHAnsi" w:cstheme="majorBidi"/>
      <w:b/>
      <w:bCs/>
      <w:color w:val="004A48" w:themeColor="accent1" w:themeShade="BF"/>
      <w:sz w:val="28"/>
      <w:szCs w:val="28"/>
    </w:rPr>
  </w:style>
  <w:style w:type="character" w:styleId="IntenseEmphasis">
    <w:name w:val="Intense Emphasis"/>
    <w:basedOn w:val="DefaultParagraphFont"/>
    <w:uiPriority w:val="21"/>
    <w:qFormat/>
    <w:rsid w:val="001F3BC2"/>
    <w:rPr>
      <w:b/>
      <w:bCs/>
      <w:i/>
      <w:iCs/>
      <w:color w:val="006462" w:themeColor="accent1"/>
    </w:rPr>
  </w:style>
  <w:style w:type="character" w:customStyle="1" w:styleId="Heading2Char">
    <w:name w:val="Heading 2 Char"/>
    <w:basedOn w:val="DefaultParagraphFont"/>
    <w:link w:val="Heading2"/>
    <w:uiPriority w:val="9"/>
    <w:rsid w:val="00BA1909"/>
    <w:rPr>
      <w:rFonts w:asciiTheme="majorHAnsi" w:eastAsiaTheme="majorEastAsia" w:hAnsiTheme="majorHAnsi" w:cstheme="majorBidi"/>
      <w:b/>
      <w:bCs/>
      <w:color w:val="006462" w:themeColor="accent1"/>
      <w:sz w:val="26"/>
      <w:szCs w:val="26"/>
    </w:rPr>
  </w:style>
  <w:style w:type="paragraph" w:styleId="ListParagraph">
    <w:name w:val="List Paragraph"/>
    <w:basedOn w:val="Normal"/>
    <w:uiPriority w:val="34"/>
    <w:qFormat/>
    <w:rsid w:val="00BA1909"/>
    <w:pPr>
      <w:ind w:left="720"/>
      <w:contextualSpacing/>
    </w:pPr>
  </w:style>
  <w:style w:type="character" w:customStyle="1" w:styleId="Heading3Char">
    <w:name w:val="Heading 3 Char"/>
    <w:basedOn w:val="DefaultParagraphFont"/>
    <w:link w:val="Heading3"/>
    <w:uiPriority w:val="9"/>
    <w:rsid w:val="00A30B3E"/>
    <w:rPr>
      <w:rFonts w:ascii="Arial Narrow" w:eastAsiaTheme="majorEastAsia" w:hAnsi="Arial Narrow" w:cstheme="majorBidi"/>
      <w:b/>
      <w:bCs/>
      <w:color w:val="006462" w:themeColor="accent1"/>
    </w:rPr>
  </w:style>
  <w:style w:type="paragraph" w:styleId="FootnoteText">
    <w:name w:val="footnote text"/>
    <w:basedOn w:val="Normal"/>
    <w:link w:val="FootnoteTextChar"/>
    <w:uiPriority w:val="99"/>
    <w:semiHidden/>
    <w:unhideWhenUsed/>
    <w:rsid w:val="006F23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301"/>
    <w:rPr>
      <w:sz w:val="20"/>
      <w:szCs w:val="20"/>
    </w:rPr>
  </w:style>
  <w:style w:type="character" w:styleId="FootnoteReference">
    <w:name w:val="footnote reference"/>
    <w:basedOn w:val="DefaultParagraphFont"/>
    <w:uiPriority w:val="99"/>
    <w:semiHidden/>
    <w:unhideWhenUsed/>
    <w:rsid w:val="006F2301"/>
    <w:rPr>
      <w:vertAlign w:val="superscript"/>
    </w:rPr>
  </w:style>
  <w:style w:type="character" w:customStyle="1" w:styleId="Heading4Char">
    <w:name w:val="Heading 4 Char"/>
    <w:basedOn w:val="DefaultParagraphFont"/>
    <w:link w:val="Heading4"/>
    <w:uiPriority w:val="9"/>
    <w:rsid w:val="00B61382"/>
    <w:rPr>
      <w:rFonts w:asciiTheme="majorHAnsi" w:eastAsiaTheme="majorEastAsia" w:hAnsiTheme="majorHAnsi" w:cstheme="majorBidi"/>
      <w:b/>
      <w:bCs/>
      <w:i/>
      <w:iCs/>
      <w:color w:val="006462" w:themeColor="accent1"/>
    </w:rPr>
  </w:style>
  <w:style w:type="table" w:styleId="LightList-Accent5">
    <w:name w:val="Light List Accent 5"/>
    <w:basedOn w:val="TableNormal"/>
    <w:uiPriority w:val="61"/>
    <w:rsid w:val="005177E0"/>
    <w:pPr>
      <w:spacing w:after="0" w:line="240" w:lineRule="auto"/>
    </w:pPr>
    <w:tblPr>
      <w:tblStyleRowBandSize w:val="1"/>
      <w:tblStyleColBandSize w:val="1"/>
      <w:tblBorders>
        <w:top w:val="single" w:sz="8" w:space="0" w:color="37A76F" w:themeColor="accent5"/>
        <w:left w:val="single" w:sz="8" w:space="0" w:color="37A76F" w:themeColor="accent5"/>
        <w:bottom w:val="single" w:sz="8" w:space="0" w:color="37A76F" w:themeColor="accent5"/>
        <w:right w:val="single" w:sz="8" w:space="0" w:color="37A76F" w:themeColor="accent5"/>
      </w:tblBorders>
    </w:tblPr>
    <w:tblStylePr w:type="firstRow">
      <w:pPr>
        <w:spacing w:before="0" w:after="0" w:line="240" w:lineRule="auto"/>
      </w:pPr>
      <w:rPr>
        <w:b/>
        <w:bCs/>
        <w:color w:val="FFFFFF" w:themeColor="background1"/>
      </w:rPr>
      <w:tblPr/>
      <w:tcPr>
        <w:shd w:val="clear" w:color="auto" w:fill="37A76F" w:themeFill="accent5"/>
      </w:tcPr>
    </w:tblStylePr>
    <w:tblStylePr w:type="lastRow">
      <w:pPr>
        <w:spacing w:before="0" w:after="0" w:line="240" w:lineRule="auto"/>
      </w:pPr>
      <w:rPr>
        <w:b/>
        <w:bCs/>
      </w:rPr>
      <w:tblPr/>
      <w:tcPr>
        <w:tcBorders>
          <w:top w:val="double" w:sz="6" w:space="0" w:color="37A76F" w:themeColor="accent5"/>
          <w:left w:val="single" w:sz="8" w:space="0" w:color="37A76F" w:themeColor="accent5"/>
          <w:bottom w:val="single" w:sz="8" w:space="0" w:color="37A76F" w:themeColor="accent5"/>
          <w:right w:val="single" w:sz="8" w:space="0" w:color="37A76F" w:themeColor="accent5"/>
        </w:tcBorders>
      </w:tcPr>
    </w:tblStylePr>
    <w:tblStylePr w:type="firstCol">
      <w:rPr>
        <w:b/>
        <w:bCs/>
      </w:rPr>
    </w:tblStylePr>
    <w:tblStylePr w:type="lastCol">
      <w:rPr>
        <w:b/>
        <w:bCs/>
      </w:rPr>
    </w:tblStylePr>
    <w:tblStylePr w:type="band1Vert">
      <w:tblPr/>
      <w:tcPr>
        <w:tcBorders>
          <w:top w:val="single" w:sz="8" w:space="0" w:color="37A76F" w:themeColor="accent5"/>
          <w:left w:val="single" w:sz="8" w:space="0" w:color="37A76F" w:themeColor="accent5"/>
          <w:bottom w:val="single" w:sz="8" w:space="0" w:color="37A76F" w:themeColor="accent5"/>
          <w:right w:val="single" w:sz="8" w:space="0" w:color="37A76F" w:themeColor="accent5"/>
        </w:tcBorders>
      </w:tcPr>
    </w:tblStylePr>
    <w:tblStylePr w:type="band1Horz">
      <w:tblPr/>
      <w:tcPr>
        <w:tcBorders>
          <w:top w:val="single" w:sz="8" w:space="0" w:color="37A76F" w:themeColor="accent5"/>
          <w:left w:val="single" w:sz="8" w:space="0" w:color="37A76F" w:themeColor="accent5"/>
          <w:bottom w:val="single" w:sz="8" w:space="0" w:color="37A76F" w:themeColor="accent5"/>
          <w:right w:val="single" w:sz="8" w:space="0" w:color="37A76F" w:themeColor="accent5"/>
        </w:tcBorders>
      </w:tcPr>
    </w:tblStylePr>
  </w:style>
  <w:style w:type="paragraph" w:styleId="BalloonText">
    <w:name w:val="Balloon Text"/>
    <w:basedOn w:val="Normal"/>
    <w:link w:val="BalloonTextChar"/>
    <w:uiPriority w:val="99"/>
    <w:semiHidden/>
    <w:unhideWhenUsed/>
    <w:rsid w:val="005D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1DD"/>
    <w:rPr>
      <w:rFonts w:ascii="Tahoma" w:hAnsi="Tahoma" w:cs="Tahoma"/>
      <w:sz w:val="16"/>
      <w:szCs w:val="16"/>
    </w:rPr>
  </w:style>
  <w:style w:type="paragraph" w:styleId="TOCHeading">
    <w:name w:val="TOC Heading"/>
    <w:basedOn w:val="Heading1"/>
    <w:next w:val="Normal"/>
    <w:uiPriority w:val="39"/>
    <w:semiHidden/>
    <w:unhideWhenUsed/>
    <w:qFormat/>
    <w:rsid w:val="00226720"/>
    <w:pPr>
      <w:outlineLvl w:val="9"/>
    </w:pPr>
    <w:rPr>
      <w:lang w:val="en-US" w:eastAsia="ja-JP"/>
    </w:rPr>
  </w:style>
  <w:style w:type="paragraph" w:styleId="TOC2">
    <w:name w:val="toc 2"/>
    <w:basedOn w:val="Normal"/>
    <w:next w:val="Normal"/>
    <w:autoRedefine/>
    <w:uiPriority w:val="39"/>
    <w:unhideWhenUsed/>
    <w:qFormat/>
    <w:rsid w:val="00226720"/>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396515"/>
    <w:pPr>
      <w:tabs>
        <w:tab w:val="right" w:leader="dot" w:pos="10440"/>
      </w:tabs>
      <w:spacing w:after="100"/>
    </w:pPr>
    <w:rPr>
      <w:rFonts w:eastAsiaTheme="minorEastAsia"/>
      <w:lang w:val="en-US" w:eastAsia="ja-JP"/>
    </w:rPr>
  </w:style>
  <w:style w:type="paragraph" w:styleId="TOC3">
    <w:name w:val="toc 3"/>
    <w:basedOn w:val="Normal"/>
    <w:next w:val="Normal"/>
    <w:autoRedefine/>
    <w:uiPriority w:val="39"/>
    <w:unhideWhenUsed/>
    <w:qFormat/>
    <w:rsid w:val="00226720"/>
    <w:pPr>
      <w:spacing w:after="100"/>
      <w:ind w:left="440"/>
    </w:pPr>
    <w:rPr>
      <w:rFonts w:eastAsiaTheme="minorEastAsia"/>
      <w:lang w:val="en-US" w:eastAsia="ja-JP"/>
    </w:rPr>
  </w:style>
  <w:style w:type="character" w:styleId="Hyperlink">
    <w:name w:val="Hyperlink"/>
    <w:basedOn w:val="DefaultParagraphFont"/>
    <w:uiPriority w:val="99"/>
    <w:unhideWhenUsed/>
    <w:rsid w:val="00226720"/>
    <w:rPr>
      <w:color w:val="0000FF" w:themeColor="hyperlink"/>
      <w:u w:val="single"/>
    </w:rPr>
  </w:style>
  <w:style w:type="table" w:styleId="LightList-Accent2">
    <w:name w:val="Light List Accent 2"/>
    <w:basedOn w:val="TableNormal"/>
    <w:uiPriority w:val="61"/>
    <w:rsid w:val="006C33A1"/>
    <w:pPr>
      <w:spacing w:after="0" w:line="240" w:lineRule="auto"/>
    </w:pPr>
    <w:tblPr>
      <w:tblStyleRowBandSize w:val="1"/>
      <w:tblStyleColBandSize w:val="1"/>
      <w:tblBorders>
        <w:top w:val="single" w:sz="8" w:space="0" w:color="272D2D" w:themeColor="accent2"/>
        <w:left w:val="single" w:sz="8" w:space="0" w:color="272D2D" w:themeColor="accent2"/>
        <w:bottom w:val="single" w:sz="8" w:space="0" w:color="272D2D" w:themeColor="accent2"/>
        <w:right w:val="single" w:sz="8" w:space="0" w:color="272D2D" w:themeColor="accent2"/>
      </w:tblBorders>
    </w:tblPr>
    <w:tblStylePr w:type="firstRow">
      <w:pPr>
        <w:spacing w:before="0" w:after="0" w:line="240" w:lineRule="auto"/>
      </w:pPr>
      <w:rPr>
        <w:b/>
        <w:bCs/>
        <w:color w:val="FFFFFF" w:themeColor="background1"/>
      </w:rPr>
      <w:tblPr/>
      <w:tcPr>
        <w:shd w:val="clear" w:color="auto" w:fill="272D2D" w:themeFill="accent2"/>
      </w:tcPr>
    </w:tblStylePr>
    <w:tblStylePr w:type="lastRow">
      <w:pPr>
        <w:spacing w:before="0" w:after="0" w:line="240" w:lineRule="auto"/>
      </w:pPr>
      <w:rPr>
        <w:b/>
        <w:bCs/>
      </w:rPr>
      <w:tblPr/>
      <w:tcPr>
        <w:tcBorders>
          <w:top w:val="double" w:sz="6" w:space="0" w:color="272D2D" w:themeColor="accent2"/>
          <w:left w:val="single" w:sz="8" w:space="0" w:color="272D2D" w:themeColor="accent2"/>
          <w:bottom w:val="single" w:sz="8" w:space="0" w:color="272D2D" w:themeColor="accent2"/>
          <w:right w:val="single" w:sz="8" w:space="0" w:color="272D2D" w:themeColor="accent2"/>
        </w:tcBorders>
      </w:tcPr>
    </w:tblStylePr>
    <w:tblStylePr w:type="firstCol">
      <w:rPr>
        <w:b/>
        <w:bCs/>
      </w:rPr>
    </w:tblStylePr>
    <w:tblStylePr w:type="lastCol">
      <w:rPr>
        <w:b/>
        <w:bCs/>
      </w:rPr>
    </w:tblStylePr>
    <w:tblStylePr w:type="band1Vert">
      <w:tblPr/>
      <w:tcPr>
        <w:tcBorders>
          <w:top w:val="single" w:sz="8" w:space="0" w:color="272D2D" w:themeColor="accent2"/>
          <w:left w:val="single" w:sz="8" w:space="0" w:color="272D2D" w:themeColor="accent2"/>
          <w:bottom w:val="single" w:sz="8" w:space="0" w:color="272D2D" w:themeColor="accent2"/>
          <w:right w:val="single" w:sz="8" w:space="0" w:color="272D2D" w:themeColor="accent2"/>
        </w:tcBorders>
      </w:tcPr>
    </w:tblStylePr>
    <w:tblStylePr w:type="band1Horz">
      <w:tblPr/>
      <w:tcPr>
        <w:tcBorders>
          <w:top w:val="single" w:sz="8" w:space="0" w:color="272D2D" w:themeColor="accent2"/>
          <w:left w:val="single" w:sz="8" w:space="0" w:color="272D2D" w:themeColor="accent2"/>
          <w:bottom w:val="single" w:sz="8" w:space="0" w:color="272D2D" w:themeColor="accent2"/>
          <w:right w:val="single" w:sz="8" w:space="0" w:color="272D2D" w:themeColor="accent2"/>
        </w:tcBorders>
      </w:tcPr>
    </w:tblStylePr>
  </w:style>
  <w:style w:type="paragraph" w:styleId="Subtitle">
    <w:name w:val="Subtitle"/>
    <w:basedOn w:val="Normal"/>
    <w:next w:val="Normal"/>
    <w:link w:val="SubtitleChar"/>
    <w:uiPriority w:val="11"/>
    <w:qFormat/>
    <w:rsid w:val="000A1AF2"/>
    <w:pPr>
      <w:numPr>
        <w:ilvl w:val="1"/>
      </w:numPr>
    </w:pPr>
    <w:rPr>
      <w:rFonts w:asciiTheme="majorHAnsi" w:eastAsiaTheme="majorEastAsia" w:hAnsiTheme="majorHAnsi" w:cstheme="majorBidi"/>
      <w:i/>
      <w:iCs/>
      <w:color w:val="006462" w:themeColor="accent1"/>
      <w:spacing w:val="15"/>
      <w:sz w:val="24"/>
      <w:szCs w:val="24"/>
    </w:rPr>
  </w:style>
  <w:style w:type="character" w:customStyle="1" w:styleId="SubtitleChar">
    <w:name w:val="Subtitle Char"/>
    <w:basedOn w:val="DefaultParagraphFont"/>
    <w:link w:val="Subtitle"/>
    <w:uiPriority w:val="11"/>
    <w:rsid w:val="000A1AF2"/>
    <w:rPr>
      <w:rFonts w:asciiTheme="majorHAnsi" w:eastAsiaTheme="majorEastAsia" w:hAnsiTheme="majorHAnsi" w:cstheme="majorBidi"/>
      <w:i/>
      <w:iCs/>
      <w:color w:val="006462" w:themeColor="accent1"/>
      <w:spacing w:val="15"/>
      <w:sz w:val="24"/>
      <w:szCs w:val="24"/>
    </w:rPr>
  </w:style>
  <w:style w:type="character" w:styleId="Emphasis">
    <w:name w:val="Emphasis"/>
    <w:basedOn w:val="DefaultParagraphFont"/>
    <w:uiPriority w:val="20"/>
    <w:qFormat/>
    <w:rsid w:val="0025690F"/>
    <w:rPr>
      <w:i/>
      <w:iCs/>
    </w:rPr>
  </w:style>
  <w:style w:type="paragraph" w:customStyle="1" w:styleId="heading1wash">
    <w:name w:val="heading 1 wash"/>
    <w:basedOn w:val="Heading1"/>
    <w:next w:val="Heading1"/>
    <w:link w:val="heading1washChar"/>
    <w:qFormat/>
    <w:rsid w:val="000006A0"/>
    <w:pPr>
      <w:spacing w:before="240" w:after="240" w:line="240" w:lineRule="auto"/>
    </w:pPr>
    <w:rPr>
      <w:rFonts w:ascii="Arial Narrow" w:hAnsi="Arial Narrow" w:cs="Arial"/>
      <w:color w:val="006666"/>
    </w:rPr>
  </w:style>
  <w:style w:type="paragraph" w:customStyle="1" w:styleId="SubheadingWASH">
    <w:name w:val="Subheading WASH"/>
    <w:basedOn w:val="Heading2"/>
    <w:link w:val="SubheadingWASHChar"/>
    <w:qFormat/>
    <w:rsid w:val="002D75DF"/>
    <w:pPr>
      <w:spacing w:after="120" w:line="240" w:lineRule="auto"/>
    </w:pPr>
    <w:rPr>
      <w:rFonts w:ascii="Arial Narrow" w:hAnsi="Arial Narrow" w:cs="Arial"/>
      <w:color w:val="586666" w:themeColor="accent2" w:themeTint="BF"/>
    </w:rPr>
  </w:style>
  <w:style w:type="character" w:customStyle="1" w:styleId="heading1washChar">
    <w:name w:val="heading 1 wash Char"/>
    <w:basedOn w:val="Heading1Char"/>
    <w:link w:val="heading1wash"/>
    <w:rsid w:val="000006A0"/>
    <w:rPr>
      <w:rFonts w:ascii="Arial Narrow" w:eastAsiaTheme="majorEastAsia" w:hAnsi="Arial Narrow" w:cs="Arial"/>
      <w:b/>
      <w:bCs/>
      <w:color w:val="006666"/>
      <w:sz w:val="28"/>
      <w:szCs w:val="28"/>
    </w:rPr>
  </w:style>
  <w:style w:type="paragraph" w:customStyle="1" w:styleId="CategoryGWC">
    <w:name w:val="Category GWC"/>
    <w:basedOn w:val="Heading3"/>
    <w:link w:val="CategoryGWCChar"/>
    <w:qFormat/>
    <w:rsid w:val="001C668E"/>
    <w:pPr>
      <w:spacing w:before="120" w:after="120" w:line="240" w:lineRule="auto"/>
    </w:pPr>
    <w:rPr>
      <w:rFonts w:ascii="Arial" w:hAnsi="Arial" w:cs="Arial"/>
      <w:color w:val="333333"/>
    </w:rPr>
  </w:style>
  <w:style w:type="character" w:customStyle="1" w:styleId="SubheadingWASHChar">
    <w:name w:val="Subheading WASH Char"/>
    <w:basedOn w:val="Heading2Char"/>
    <w:link w:val="SubheadingWASH"/>
    <w:rsid w:val="002D75DF"/>
    <w:rPr>
      <w:rFonts w:ascii="Arial Narrow" w:eastAsiaTheme="majorEastAsia" w:hAnsi="Arial Narrow" w:cs="Arial"/>
      <w:b/>
      <w:bCs/>
      <w:color w:val="586666" w:themeColor="accent2" w:themeTint="BF"/>
      <w:sz w:val="26"/>
      <w:szCs w:val="26"/>
    </w:rPr>
  </w:style>
  <w:style w:type="character" w:customStyle="1" w:styleId="CategoryGWCChar">
    <w:name w:val="Category GWC Char"/>
    <w:basedOn w:val="Heading3Char"/>
    <w:link w:val="CategoryGWC"/>
    <w:rsid w:val="001C668E"/>
    <w:rPr>
      <w:rFonts w:ascii="Arial" w:eastAsiaTheme="majorEastAsia" w:hAnsi="Arial" w:cs="Arial"/>
      <w:b/>
      <w:bCs/>
      <w:color w:val="333333"/>
    </w:rPr>
  </w:style>
  <w:style w:type="character" w:styleId="IntenseReference">
    <w:name w:val="Intense Reference"/>
    <w:basedOn w:val="DefaultParagraphFont"/>
    <w:uiPriority w:val="32"/>
    <w:qFormat/>
    <w:rsid w:val="00061DBF"/>
    <w:rPr>
      <w:b/>
      <w:bCs/>
      <w:smallCaps/>
      <w:color w:val="272D2D" w:themeColor="accent2"/>
      <w:spacing w:val="5"/>
      <w:u w:val="single"/>
    </w:rPr>
  </w:style>
  <w:style w:type="paragraph" w:styleId="Caption">
    <w:name w:val="caption"/>
    <w:basedOn w:val="Normal"/>
    <w:next w:val="Normal"/>
    <w:uiPriority w:val="35"/>
    <w:unhideWhenUsed/>
    <w:qFormat/>
    <w:rsid w:val="00454FAD"/>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237C33"/>
    <w:pPr>
      <w:spacing w:after="0"/>
    </w:pPr>
  </w:style>
  <w:style w:type="character" w:customStyle="1" w:styleId="apple-converted-space">
    <w:name w:val="apple-converted-space"/>
    <w:basedOn w:val="DefaultParagraphFont"/>
    <w:rsid w:val="00FC4522"/>
  </w:style>
  <w:style w:type="table" w:styleId="ListTable7Colorful-Accent1">
    <w:name w:val="List Table 7 Colorful Accent 1"/>
    <w:basedOn w:val="TableNormal"/>
    <w:uiPriority w:val="52"/>
    <w:rsid w:val="00031D39"/>
    <w:pPr>
      <w:spacing w:after="0" w:line="240" w:lineRule="auto"/>
    </w:pPr>
    <w:rPr>
      <w:color w:val="004A4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46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46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46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462" w:themeColor="accent1"/>
        </w:tcBorders>
        <w:shd w:val="clear" w:color="auto" w:fill="FFFFFF" w:themeFill="background1"/>
      </w:tcPr>
    </w:tblStylePr>
    <w:tblStylePr w:type="band1Vert">
      <w:tblPr/>
      <w:tcPr>
        <w:shd w:val="clear" w:color="auto" w:fill="ADFFFD" w:themeFill="accent1" w:themeFillTint="33"/>
      </w:tcPr>
    </w:tblStylePr>
    <w:tblStylePr w:type="band1Horz">
      <w:tblPr/>
      <w:tcPr>
        <w:shd w:val="clear" w:color="auto" w:fill="ADFFF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1">
    <w:name w:val="Grid Table 7 Colorful Accent 1"/>
    <w:basedOn w:val="TableNormal"/>
    <w:uiPriority w:val="52"/>
    <w:rsid w:val="00C40994"/>
    <w:pPr>
      <w:spacing w:after="0" w:line="240" w:lineRule="auto"/>
    </w:pPr>
    <w:rPr>
      <w:color w:val="004A48" w:themeColor="accent1" w:themeShade="BF"/>
    </w:rPr>
    <w:tblPr>
      <w:tblStyleRowBandSize w:val="1"/>
      <w:tblStyleColBandSize w:val="1"/>
      <w:tblBorders>
        <w:top w:val="single" w:sz="4" w:space="0" w:color="09FFF9" w:themeColor="accent1" w:themeTint="99"/>
        <w:left w:val="single" w:sz="4" w:space="0" w:color="09FFF9" w:themeColor="accent1" w:themeTint="99"/>
        <w:bottom w:val="single" w:sz="4" w:space="0" w:color="09FFF9" w:themeColor="accent1" w:themeTint="99"/>
        <w:right w:val="single" w:sz="4" w:space="0" w:color="09FFF9" w:themeColor="accent1" w:themeTint="99"/>
        <w:insideH w:val="single" w:sz="4" w:space="0" w:color="09FFF9" w:themeColor="accent1" w:themeTint="99"/>
        <w:insideV w:val="single" w:sz="4" w:space="0" w:color="09FFF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FD" w:themeFill="accent1" w:themeFillTint="33"/>
      </w:tcPr>
    </w:tblStylePr>
    <w:tblStylePr w:type="band1Horz">
      <w:tblPr/>
      <w:tcPr>
        <w:shd w:val="clear" w:color="auto" w:fill="ADFFFD" w:themeFill="accent1" w:themeFillTint="33"/>
      </w:tcPr>
    </w:tblStylePr>
    <w:tblStylePr w:type="neCell">
      <w:tblPr/>
      <w:tcPr>
        <w:tcBorders>
          <w:bottom w:val="single" w:sz="4" w:space="0" w:color="09FFF9" w:themeColor="accent1" w:themeTint="99"/>
        </w:tcBorders>
      </w:tcPr>
    </w:tblStylePr>
    <w:tblStylePr w:type="nwCell">
      <w:tblPr/>
      <w:tcPr>
        <w:tcBorders>
          <w:bottom w:val="single" w:sz="4" w:space="0" w:color="09FFF9" w:themeColor="accent1" w:themeTint="99"/>
        </w:tcBorders>
      </w:tcPr>
    </w:tblStylePr>
    <w:tblStylePr w:type="seCell">
      <w:tblPr/>
      <w:tcPr>
        <w:tcBorders>
          <w:top w:val="single" w:sz="4" w:space="0" w:color="09FFF9" w:themeColor="accent1" w:themeTint="99"/>
        </w:tcBorders>
      </w:tcPr>
    </w:tblStylePr>
    <w:tblStylePr w:type="swCell">
      <w:tblPr/>
      <w:tcPr>
        <w:tcBorders>
          <w:top w:val="single" w:sz="4" w:space="0" w:color="09FFF9" w:themeColor="accent1" w:themeTint="99"/>
        </w:tcBorders>
      </w:tcPr>
    </w:tblStylePr>
  </w:style>
  <w:style w:type="table" w:styleId="GridTable3-Accent1">
    <w:name w:val="Grid Table 3 Accent 1"/>
    <w:basedOn w:val="TableNormal"/>
    <w:uiPriority w:val="48"/>
    <w:rsid w:val="00CD70A7"/>
    <w:pPr>
      <w:spacing w:after="0" w:line="240" w:lineRule="auto"/>
    </w:pPr>
    <w:tblPr>
      <w:tblStyleRowBandSize w:val="1"/>
      <w:tblStyleColBandSize w:val="1"/>
      <w:tblBorders>
        <w:top w:val="single" w:sz="4" w:space="0" w:color="09FFF9" w:themeColor="accent1" w:themeTint="99"/>
        <w:left w:val="single" w:sz="4" w:space="0" w:color="09FFF9" w:themeColor="accent1" w:themeTint="99"/>
        <w:bottom w:val="single" w:sz="4" w:space="0" w:color="09FFF9" w:themeColor="accent1" w:themeTint="99"/>
        <w:right w:val="single" w:sz="4" w:space="0" w:color="09FFF9" w:themeColor="accent1" w:themeTint="99"/>
        <w:insideH w:val="single" w:sz="4" w:space="0" w:color="09FFF9" w:themeColor="accent1" w:themeTint="99"/>
        <w:insideV w:val="single" w:sz="4" w:space="0" w:color="09FFF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FD" w:themeFill="accent1" w:themeFillTint="33"/>
      </w:tcPr>
    </w:tblStylePr>
    <w:tblStylePr w:type="band1Horz">
      <w:tblPr/>
      <w:tcPr>
        <w:shd w:val="clear" w:color="auto" w:fill="ADFFFD" w:themeFill="accent1" w:themeFillTint="33"/>
      </w:tcPr>
    </w:tblStylePr>
    <w:tblStylePr w:type="neCell">
      <w:tblPr/>
      <w:tcPr>
        <w:tcBorders>
          <w:bottom w:val="single" w:sz="4" w:space="0" w:color="09FFF9" w:themeColor="accent1" w:themeTint="99"/>
        </w:tcBorders>
      </w:tcPr>
    </w:tblStylePr>
    <w:tblStylePr w:type="nwCell">
      <w:tblPr/>
      <w:tcPr>
        <w:tcBorders>
          <w:bottom w:val="single" w:sz="4" w:space="0" w:color="09FFF9" w:themeColor="accent1" w:themeTint="99"/>
        </w:tcBorders>
      </w:tcPr>
    </w:tblStylePr>
    <w:tblStylePr w:type="seCell">
      <w:tblPr/>
      <w:tcPr>
        <w:tcBorders>
          <w:top w:val="single" w:sz="4" w:space="0" w:color="09FFF9" w:themeColor="accent1" w:themeTint="99"/>
        </w:tcBorders>
      </w:tcPr>
    </w:tblStylePr>
    <w:tblStylePr w:type="swCell">
      <w:tblPr/>
      <w:tcPr>
        <w:tcBorders>
          <w:top w:val="single" w:sz="4" w:space="0" w:color="09FFF9"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05182">
      <w:bodyDiv w:val="1"/>
      <w:marLeft w:val="0"/>
      <w:marRight w:val="0"/>
      <w:marTop w:val="0"/>
      <w:marBottom w:val="0"/>
      <w:divBdr>
        <w:top w:val="none" w:sz="0" w:space="0" w:color="auto"/>
        <w:left w:val="none" w:sz="0" w:space="0" w:color="auto"/>
        <w:bottom w:val="none" w:sz="0" w:space="0" w:color="auto"/>
        <w:right w:val="none" w:sz="0" w:space="0" w:color="auto"/>
      </w:divBdr>
    </w:div>
    <w:div w:id="301542623">
      <w:bodyDiv w:val="1"/>
      <w:marLeft w:val="0"/>
      <w:marRight w:val="0"/>
      <w:marTop w:val="0"/>
      <w:marBottom w:val="0"/>
      <w:divBdr>
        <w:top w:val="none" w:sz="0" w:space="0" w:color="auto"/>
        <w:left w:val="none" w:sz="0" w:space="0" w:color="auto"/>
        <w:bottom w:val="none" w:sz="0" w:space="0" w:color="auto"/>
        <w:right w:val="none" w:sz="0" w:space="0" w:color="auto"/>
      </w:divBdr>
    </w:div>
    <w:div w:id="449789057">
      <w:bodyDiv w:val="1"/>
      <w:marLeft w:val="0"/>
      <w:marRight w:val="0"/>
      <w:marTop w:val="0"/>
      <w:marBottom w:val="0"/>
      <w:divBdr>
        <w:top w:val="none" w:sz="0" w:space="0" w:color="auto"/>
        <w:left w:val="none" w:sz="0" w:space="0" w:color="auto"/>
        <w:bottom w:val="none" w:sz="0" w:space="0" w:color="auto"/>
        <w:right w:val="none" w:sz="0" w:space="0" w:color="auto"/>
      </w:divBdr>
    </w:div>
    <w:div w:id="501628929">
      <w:bodyDiv w:val="1"/>
      <w:marLeft w:val="0"/>
      <w:marRight w:val="0"/>
      <w:marTop w:val="0"/>
      <w:marBottom w:val="0"/>
      <w:divBdr>
        <w:top w:val="none" w:sz="0" w:space="0" w:color="auto"/>
        <w:left w:val="none" w:sz="0" w:space="0" w:color="auto"/>
        <w:bottom w:val="none" w:sz="0" w:space="0" w:color="auto"/>
        <w:right w:val="none" w:sz="0" w:space="0" w:color="auto"/>
      </w:divBdr>
    </w:div>
    <w:div w:id="964510054">
      <w:bodyDiv w:val="1"/>
      <w:marLeft w:val="0"/>
      <w:marRight w:val="0"/>
      <w:marTop w:val="0"/>
      <w:marBottom w:val="0"/>
      <w:divBdr>
        <w:top w:val="none" w:sz="0" w:space="0" w:color="auto"/>
        <w:left w:val="none" w:sz="0" w:space="0" w:color="auto"/>
        <w:bottom w:val="none" w:sz="0" w:space="0" w:color="auto"/>
        <w:right w:val="none" w:sz="0" w:space="0" w:color="auto"/>
      </w:divBdr>
    </w:div>
    <w:div w:id="974287393">
      <w:bodyDiv w:val="1"/>
      <w:marLeft w:val="0"/>
      <w:marRight w:val="0"/>
      <w:marTop w:val="0"/>
      <w:marBottom w:val="0"/>
      <w:divBdr>
        <w:top w:val="none" w:sz="0" w:space="0" w:color="auto"/>
        <w:left w:val="none" w:sz="0" w:space="0" w:color="auto"/>
        <w:bottom w:val="none" w:sz="0" w:space="0" w:color="auto"/>
        <w:right w:val="none" w:sz="0" w:space="0" w:color="auto"/>
      </w:divBdr>
    </w:div>
    <w:div w:id="1314144423">
      <w:bodyDiv w:val="1"/>
      <w:marLeft w:val="0"/>
      <w:marRight w:val="0"/>
      <w:marTop w:val="0"/>
      <w:marBottom w:val="0"/>
      <w:divBdr>
        <w:top w:val="none" w:sz="0" w:space="0" w:color="auto"/>
        <w:left w:val="none" w:sz="0" w:space="0" w:color="auto"/>
        <w:bottom w:val="none" w:sz="0" w:space="0" w:color="auto"/>
        <w:right w:val="none" w:sz="0" w:space="0" w:color="auto"/>
      </w:divBdr>
    </w:div>
    <w:div w:id="1721436247">
      <w:bodyDiv w:val="1"/>
      <w:marLeft w:val="0"/>
      <w:marRight w:val="0"/>
      <w:marTop w:val="0"/>
      <w:marBottom w:val="0"/>
      <w:divBdr>
        <w:top w:val="none" w:sz="0" w:space="0" w:color="auto"/>
        <w:left w:val="none" w:sz="0" w:space="0" w:color="auto"/>
        <w:bottom w:val="none" w:sz="0" w:space="0" w:color="auto"/>
        <w:right w:val="none" w:sz="0" w:space="0" w:color="auto"/>
      </w:divBdr>
    </w:div>
    <w:div w:id="1852640797">
      <w:bodyDiv w:val="1"/>
      <w:marLeft w:val="0"/>
      <w:marRight w:val="0"/>
      <w:marTop w:val="0"/>
      <w:marBottom w:val="0"/>
      <w:divBdr>
        <w:top w:val="none" w:sz="0" w:space="0" w:color="auto"/>
        <w:left w:val="none" w:sz="0" w:space="0" w:color="auto"/>
        <w:bottom w:val="none" w:sz="0" w:space="0" w:color="auto"/>
        <w:right w:val="none" w:sz="0" w:space="0" w:color="auto"/>
      </w:divBdr>
    </w:div>
    <w:div w:id="214126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chart" Target="charts/chart37.xml"/><Relationship Id="rId55" Type="http://schemas.openxmlformats.org/officeDocument/2006/relationships/chart" Target="charts/chart42.xml"/><Relationship Id="rId63" Type="http://schemas.openxmlformats.org/officeDocument/2006/relationships/chart" Target="charts/chart50.xml"/><Relationship Id="rId68" Type="http://schemas.openxmlformats.org/officeDocument/2006/relationships/chart" Target="charts/chart55.xml"/><Relationship Id="rId76" Type="http://schemas.openxmlformats.org/officeDocument/2006/relationships/image" Target="media/image7.emf"/><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hart" Target="charts/chart58.xml"/><Relationship Id="rId2" Type="http://schemas.openxmlformats.org/officeDocument/2006/relationships/customXml" Target="../customXml/item2.xml"/><Relationship Id="rId16" Type="http://schemas.openxmlformats.org/officeDocument/2006/relationships/chart" Target="charts/chart3.xml"/><Relationship Id="rId29" Type="http://schemas.openxmlformats.org/officeDocument/2006/relationships/chart" Target="charts/chart16.xml"/><Relationship Id="rId11" Type="http://schemas.openxmlformats.org/officeDocument/2006/relationships/image" Target="media/image4.emf"/><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3" Type="http://schemas.openxmlformats.org/officeDocument/2006/relationships/chart" Target="charts/chart40.xml"/><Relationship Id="rId58" Type="http://schemas.openxmlformats.org/officeDocument/2006/relationships/chart" Target="charts/chart45.xml"/><Relationship Id="rId66" Type="http://schemas.openxmlformats.org/officeDocument/2006/relationships/chart" Target="charts/chart53.xml"/><Relationship Id="rId74" Type="http://schemas.openxmlformats.org/officeDocument/2006/relationships/chart" Target="charts/chart61.xml"/><Relationship Id="rId79" Type="http://schemas.openxmlformats.org/officeDocument/2006/relationships/chart" Target="charts/chart65.xml"/><Relationship Id="rId5" Type="http://schemas.openxmlformats.org/officeDocument/2006/relationships/settings" Target="settings.xml"/><Relationship Id="rId61" Type="http://schemas.openxmlformats.org/officeDocument/2006/relationships/chart" Target="charts/chart48.xml"/><Relationship Id="rId82"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chart" Target="charts/chart35.xml"/><Relationship Id="rId56" Type="http://schemas.openxmlformats.org/officeDocument/2006/relationships/chart" Target="charts/chart43.xml"/><Relationship Id="rId64" Type="http://schemas.openxmlformats.org/officeDocument/2006/relationships/chart" Target="charts/chart51.xml"/><Relationship Id="rId69" Type="http://schemas.openxmlformats.org/officeDocument/2006/relationships/chart" Target="charts/chart56.xml"/><Relationship Id="rId77" Type="http://schemas.openxmlformats.org/officeDocument/2006/relationships/chart" Target="charts/chart63.xml"/><Relationship Id="rId8" Type="http://schemas.openxmlformats.org/officeDocument/2006/relationships/endnotes" Target="endnotes.xml"/><Relationship Id="rId51" Type="http://schemas.openxmlformats.org/officeDocument/2006/relationships/chart" Target="charts/chart38.xml"/><Relationship Id="rId72" Type="http://schemas.openxmlformats.org/officeDocument/2006/relationships/chart" Target="charts/chart59.xml"/><Relationship Id="rId80" Type="http://schemas.openxmlformats.org/officeDocument/2006/relationships/chart" Target="charts/chart66.xm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5.emf"/><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3.xml"/><Relationship Id="rId59" Type="http://schemas.openxmlformats.org/officeDocument/2006/relationships/chart" Target="charts/chart46.xml"/><Relationship Id="rId67" Type="http://schemas.openxmlformats.org/officeDocument/2006/relationships/chart" Target="charts/chart54.xml"/><Relationship Id="rId20" Type="http://schemas.openxmlformats.org/officeDocument/2006/relationships/chart" Target="charts/chart7.xml"/><Relationship Id="rId41" Type="http://schemas.openxmlformats.org/officeDocument/2006/relationships/chart" Target="charts/chart28.xml"/><Relationship Id="rId54" Type="http://schemas.openxmlformats.org/officeDocument/2006/relationships/chart" Target="charts/chart41.xml"/><Relationship Id="rId62" Type="http://schemas.openxmlformats.org/officeDocument/2006/relationships/chart" Target="charts/chart49.xml"/><Relationship Id="rId70" Type="http://schemas.openxmlformats.org/officeDocument/2006/relationships/chart" Target="charts/chart57.xml"/><Relationship Id="rId75" Type="http://schemas.openxmlformats.org/officeDocument/2006/relationships/chart" Target="charts/chart62.xm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chart" Target="charts/chart36.xml"/><Relationship Id="rId57" Type="http://schemas.openxmlformats.org/officeDocument/2006/relationships/chart" Target="charts/chart44.xml"/><Relationship Id="rId10" Type="http://schemas.openxmlformats.org/officeDocument/2006/relationships/image" Target="media/image3.jpeg"/><Relationship Id="rId31" Type="http://schemas.openxmlformats.org/officeDocument/2006/relationships/chart" Target="charts/chart18.xml"/><Relationship Id="rId44" Type="http://schemas.openxmlformats.org/officeDocument/2006/relationships/chart" Target="charts/chart31.xml"/><Relationship Id="rId52" Type="http://schemas.openxmlformats.org/officeDocument/2006/relationships/chart" Target="charts/chart39.xml"/><Relationship Id="rId60" Type="http://schemas.openxmlformats.org/officeDocument/2006/relationships/chart" Target="charts/chart47.xml"/><Relationship Id="rId65" Type="http://schemas.openxmlformats.org/officeDocument/2006/relationships/chart" Target="charts/chart52.xml"/><Relationship Id="rId73" Type="http://schemas.openxmlformats.org/officeDocument/2006/relationships/chart" Target="charts/chart60.xml"/><Relationship Id="rId78" Type="http://schemas.openxmlformats.org/officeDocument/2006/relationships/chart" Target="charts/chart64.xml"/><Relationship Id="rId81"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alford\Dropbox\Palestine\HNO%202016\Analysis%20&amp;%20Outputs\Gaza\Water%20Production%20Analysi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dalford\Dropbox\Palestine\HNO%202016\Analysis%20&amp;%20Outputs\Gaza\OCHA%20IDP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dalford\Documents\30.%20SoP\Gaza\HH%20Survey%20Analysi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dalford\Documents\30.%20SoP\Gaza\HH%20Survey%20Analysi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dalford\Documents\30.%20SoP\Gaza\HH%20Survey%20Analysi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lford\Dropbox\Palestine\HNO%202016\Gaza%20Strip\ACF%20HH%20Survey\ACF%20HH%20Survey.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dalford\Dropbox\Palestine\HNO%202016\Analysis%20&amp;%20Outputs\Gaza\OCHA%20IDPs.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dalford\Dropbox\Palestine\HNO%202016\Analysis%20&amp;%20Outputs\Gaza\OCHA%20IDPs.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dalford\Documents\30.%20SoP\Gaza\HH%20Survey%20Analysis.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dalford\Documents\30.%20SoP\Gaza\HH%20Survey%20Analysis.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dalford\Dropbox\Palestine\HNO%202016\Analysis%20&amp;%20Outputs\Gaza\VPP_24Agust2016_Analysis.xlsm"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dalford\Dropbox\Palestine\HNO%202016\Analysis%20&amp;%20Outputs\Gaza\Flood%20Risk%20Analysis.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lford\Dropbox\Palestine\HNO%202016\Analysis%20&amp;%20Outputs\Gaza\VPP_24Agust2016_Analysis.xlsm"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dalford\Dropbox\Palestine\HNO%202016\Analysis%20&amp;%20Outputs\Gaza\Flood%20Risk%20Analysis.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dalford\Documents\30.%20SoP\Gaza\HH%20Survey%20Analysis.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dalford\Dropbox\Palestine\HNO%202016\Analysis%20&amp;%20Outputs\Gaza\HH%20Survey%202010.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dalford\Documents\30.%20SoP\Gaza\HH%20Survey%20Analysis.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dalford\Documents\30.%20SoP\Gaza\HH%20Survey%20Analysis.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dalford\Documents\30.%20SoP\Gaza\HH%20Survey%20Analysis.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alford\Dropbox\Palestine\HNO%202016\Analysis%20&amp;%20Outputs\Gaza\HH%20Survey%202010.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46.xml"/><Relationship Id="rId1" Type="http://schemas.microsoft.com/office/2011/relationships/chartStyle" Target="style46.xml"/></Relationships>
</file>

<file path=word/charts/_rels/chart47.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48.xml"/><Relationship Id="rId1" Type="http://schemas.microsoft.com/office/2011/relationships/chartStyle" Target="style48.xml"/></Relationships>
</file>

<file path=word/charts/_rels/chart49.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alford\Dropbox\Palestine\HNO%202016\Gaza%20Strip\ACF%20HH%20Survey\ACF%20HH%20Survey.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50.xml"/><Relationship Id="rId1" Type="http://schemas.microsoft.com/office/2011/relationships/chartStyle" Target="style50.xml"/></Relationships>
</file>

<file path=word/charts/_rels/chart51.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51.xml"/><Relationship Id="rId1" Type="http://schemas.microsoft.com/office/2011/relationships/chartStyle" Target="style51.xml"/></Relationships>
</file>

<file path=word/charts/_rels/chart52.xml.rels><?xml version="1.0" encoding="UTF-8" standalone="yes"?>
<Relationships xmlns="http://schemas.openxmlformats.org/package/2006/relationships"><Relationship Id="rId3" Type="http://schemas.openxmlformats.org/officeDocument/2006/relationships/oleObject" Target="file:///C:\Users\dalford\Documents\30.%20SoP\Gaza\HH%20Survey%20Analysis.xlsx" TargetMode="External"/><Relationship Id="rId2" Type="http://schemas.microsoft.com/office/2011/relationships/chartColorStyle" Target="colors52.xml"/><Relationship Id="rId1" Type="http://schemas.microsoft.com/office/2011/relationships/chartStyle" Target="style52.xml"/></Relationships>
</file>

<file path=word/charts/_rels/chart53.xml.rels><?xml version="1.0" encoding="UTF-8" standalone="yes"?>
<Relationships xmlns="http://schemas.openxmlformats.org/package/2006/relationships"><Relationship Id="rId3" Type="http://schemas.openxmlformats.org/officeDocument/2006/relationships/oleObject" Target="file:///C:\Users\dalford\Dropbox\Palestine\HNO%202016\Gaza%20Strip\PCBS\PCBS.xlsx" TargetMode="External"/><Relationship Id="rId2" Type="http://schemas.microsoft.com/office/2011/relationships/chartColorStyle" Target="colors53.xml"/><Relationship Id="rId1" Type="http://schemas.microsoft.com/office/2011/relationships/chartStyle" Target="style53.xml"/></Relationships>
</file>

<file path=word/charts/_rels/chart54.xml.rels><?xml version="1.0" encoding="UTF-8" standalone="yes"?>
<Relationships xmlns="http://schemas.openxmlformats.org/package/2006/relationships"><Relationship Id="rId3" Type="http://schemas.openxmlformats.org/officeDocument/2006/relationships/oleObject" Target="file:///C:\Users\dalford\Dropbox\Palestine\HNO%202016\Gaza%20Strip\PCBS\PCBS.xlsx" TargetMode="External"/><Relationship Id="rId2" Type="http://schemas.microsoft.com/office/2011/relationships/chartColorStyle" Target="colors54.xml"/><Relationship Id="rId1" Type="http://schemas.microsoft.com/office/2011/relationships/chartStyle" Target="style54.xml"/></Relationships>
</file>

<file path=word/charts/_rels/chart55.xml.rels><?xml version="1.0" encoding="UTF-8" standalone="yes"?>
<Relationships xmlns="http://schemas.openxmlformats.org/package/2006/relationships"><Relationship Id="rId3" Type="http://schemas.openxmlformats.org/officeDocument/2006/relationships/oleObject" Target="file:///C:\Users\dalford\Dropbox\Palestine\HNO%202016\Gaza%20Strip\PCBS\PCBS.xlsx" TargetMode="External"/><Relationship Id="rId2" Type="http://schemas.microsoft.com/office/2011/relationships/chartColorStyle" Target="colors55.xml"/><Relationship Id="rId1" Type="http://schemas.microsoft.com/office/2011/relationships/chartStyle" Target="style55.xml"/></Relationships>
</file>

<file path=word/charts/_rels/chart56.xml.rels><?xml version="1.0" encoding="UTF-8" standalone="yes"?>
<Relationships xmlns="http://schemas.openxmlformats.org/package/2006/relationships"><Relationship Id="rId3" Type="http://schemas.openxmlformats.org/officeDocument/2006/relationships/oleObject" Target="file:///C:\Users\dalford\Dropbox\Palestine\HNO%202016\Gaza%20Strip\PCBS\PCBS.xlsx" TargetMode="External"/><Relationship Id="rId2" Type="http://schemas.microsoft.com/office/2011/relationships/chartColorStyle" Target="colors56.xml"/><Relationship Id="rId1" Type="http://schemas.microsoft.com/office/2011/relationships/chartStyle" Target="style56.xml"/></Relationships>
</file>

<file path=word/charts/_rels/chart57.xml.rels><?xml version="1.0" encoding="UTF-8" standalone="yes"?>
<Relationships xmlns="http://schemas.openxmlformats.org/package/2006/relationships"><Relationship Id="rId3" Type="http://schemas.openxmlformats.org/officeDocument/2006/relationships/oleObject" Target="file:///C:\Users\dalford\Dropbox\Palestine\HNO%202016\Analysis%20&amp;%20Outputs\Gaza\WiC%20needs_MoE%20assessment.xls" TargetMode="External"/><Relationship Id="rId2" Type="http://schemas.microsoft.com/office/2011/relationships/chartColorStyle" Target="colors57.xml"/><Relationship Id="rId1" Type="http://schemas.microsoft.com/office/2011/relationships/chartStyle" Target="style57.xml"/></Relationships>
</file>

<file path=word/charts/_rels/chart58.xml.rels><?xml version="1.0" encoding="UTF-8" standalone="yes"?>
<Relationships xmlns="http://schemas.openxmlformats.org/package/2006/relationships"><Relationship Id="rId3" Type="http://schemas.openxmlformats.org/officeDocument/2006/relationships/oleObject" Target="file:///C:\Users\dalford\Dropbox\Palestine\HNO%202016\Analysis%20&amp;%20Outputs\Gaza\WiC%20needs_MoE%20assessment.xls" TargetMode="External"/><Relationship Id="rId2" Type="http://schemas.microsoft.com/office/2011/relationships/chartColorStyle" Target="colors58.xml"/><Relationship Id="rId1" Type="http://schemas.microsoft.com/office/2011/relationships/chartStyle" Target="style58.xml"/></Relationships>
</file>

<file path=word/charts/_rels/chart59.xml.rels><?xml version="1.0" encoding="UTF-8" standalone="yes"?>
<Relationships xmlns="http://schemas.openxmlformats.org/package/2006/relationships"><Relationship Id="rId3" Type="http://schemas.openxmlformats.org/officeDocument/2006/relationships/oleObject" Target="file:///C:\Users\dalford\Dropbox\Palestine\HNO%202016\Gaza%20Strip\PCBS\PCBS.xlsx" TargetMode="External"/><Relationship Id="rId2" Type="http://schemas.microsoft.com/office/2011/relationships/chartColorStyle" Target="colors59.xml"/><Relationship Id="rId1" Type="http://schemas.microsoft.com/office/2011/relationships/chartStyle" Target="style59.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alford\Dropbox\Palestine\HNO%202016\Analysis%20&amp;%20Outputs\Gaza\OCHA%20IDPs.xlsx" TargetMode="External"/><Relationship Id="rId2" Type="http://schemas.microsoft.com/office/2011/relationships/chartColorStyle" Target="colors6.xml"/><Relationship Id="rId1" Type="http://schemas.microsoft.com/office/2011/relationships/chartStyle" Target="style6.xml"/></Relationships>
</file>

<file path=word/charts/_rels/chart60.xml.rels><?xml version="1.0" encoding="UTF-8" standalone="yes"?>
<Relationships xmlns="http://schemas.openxmlformats.org/package/2006/relationships"><Relationship Id="rId3" Type="http://schemas.openxmlformats.org/officeDocument/2006/relationships/oleObject" Target="file:///C:\Users\dalford\Dropbox\Palestine\HNO%202016\Gaza%20Strip\PCBS\PCBS.xlsx" TargetMode="External"/><Relationship Id="rId2" Type="http://schemas.microsoft.com/office/2011/relationships/chartColorStyle" Target="colors60.xml"/><Relationship Id="rId1" Type="http://schemas.microsoft.com/office/2011/relationships/chartStyle" Target="style60.xml"/></Relationships>
</file>

<file path=word/charts/_rels/chart61.xml.rels><?xml version="1.0" encoding="UTF-8" standalone="yes"?>
<Relationships xmlns="http://schemas.openxmlformats.org/package/2006/relationships"><Relationship Id="rId3" Type="http://schemas.openxmlformats.org/officeDocument/2006/relationships/oleObject" Target="file:///C:\Users\dalford\Dropbox\Palestine\HNO%202016\Gaza%20Strip\PCBS\PCBS.xlsx" TargetMode="External"/><Relationship Id="rId2" Type="http://schemas.microsoft.com/office/2011/relationships/chartColorStyle" Target="colors61.xml"/><Relationship Id="rId1" Type="http://schemas.microsoft.com/office/2011/relationships/chartStyle" Target="style61.xml"/></Relationships>
</file>

<file path=word/charts/_rels/chart62.xml.rels><?xml version="1.0" encoding="UTF-8" standalone="yes"?>
<Relationships xmlns="http://schemas.openxmlformats.org/package/2006/relationships"><Relationship Id="rId3" Type="http://schemas.openxmlformats.org/officeDocument/2006/relationships/oleObject" Target="file:///C:\Users\dalford\Dropbox\Palestine\HNO%202016\Analysis%20&amp;%20Outputs\Gaza\Health%20Analysis.xlsx" TargetMode="External"/><Relationship Id="rId2" Type="http://schemas.microsoft.com/office/2011/relationships/chartColorStyle" Target="colors62.xml"/><Relationship Id="rId1" Type="http://schemas.microsoft.com/office/2011/relationships/chartStyle" Target="style62.xml"/></Relationships>
</file>

<file path=word/charts/_rels/chart63.xml.rels><?xml version="1.0" encoding="UTF-8" standalone="yes"?>
<Relationships xmlns="http://schemas.openxmlformats.org/package/2006/relationships"><Relationship Id="rId3" Type="http://schemas.openxmlformats.org/officeDocument/2006/relationships/oleObject" Target="file:///C:\Users\dalford\Dropbox\Palestine\HNO%202016\Analysis%20&amp;%20Outputs\Gaza\Health%20Analysis.xlsx" TargetMode="External"/><Relationship Id="rId2" Type="http://schemas.microsoft.com/office/2011/relationships/chartColorStyle" Target="colors63.xml"/><Relationship Id="rId1" Type="http://schemas.microsoft.com/office/2011/relationships/chartStyle" Target="style63.xml"/></Relationships>
</file>

<file path=word/charts/_rels/chart64.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64.xml"/><Relationship Id="rId1" Type="http://schemas.microsoft.com/office/2011/relationships/chartStyle" Target="style64.xml"/></Relationships>
</file>

<file path=word/charts/_rels/chart65.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65.xml"/><Relationship Id="rId1" Type="http://schemas.microsoft.com/office/2011/relationships/chartStyle" Target="style65.xml"/></Relationships>
</file>

<file path=word/charts/_rels/chart66.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66.xml"/><Relationship Id="rId1" Type="http://schemas.microsoft.com/office/2011/relationships/chartStyle" Target="style6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dalford\Dropbox\Palestine\HNO%202016\Analysis%20&amp;%20Outputs\Gaza\OCHA%20IDP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dalford\Dropbox\Palestine\HNO%202016\Gaza%20Strip\GVC%20Assessment%20Survey\Gaza%20WASH%20Assessment_raw%20data_GVC_edited.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0">
                <a:latin typeface="+mn-lt"/>
              </a:rPr>
              <a:t>2015 Average</a:t>
            </a:r>
            <a:r>
              <a:rPr lang="en-US" sz="1100" b="0" baseline="0">
                <a:latin typeface="+mn-lt"/>
              </a:rPr>
              <a:t> Litres/Person/Day: </a:t>
            </a:r>
          </a:p>
          <a:p>
            <a:pPr>
              <a:defRPr sz="1100"/>
            </a:pPr>
            <a:r>
              <a:rPr lang="en-US" sz="1100" b="0" baseline="0">
                <a:latin typeface="+mn-lt"/>
              </a:rPr>
              <a:t>Production vs Consumption</a:t>
            </a:r>
            <a:endParaRPr lang="en-US" sz="1100" b="0">
              <a:latin typeface="+mn-lt"/>
            </a:endParaRPr>
          </a:p>
        </c:rich>
      </c:tx>
      <c:layout>
        <c:manualLayout>
          <c:xMode val="edge"/>
          <c:yMode val="edge"/>
          <c:x val="0.24966591008528177"/>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7647129829851067E-2"/>
          <c:y val="0.22009259259259259"/>
          <c:w val="0.65917363188799383"/>
          <c:h val="0.59739748760298017"/>
        </c:manualLayout>
      </c:layout>
      <c:barChart>
        <c:barDir val="col"/>
        <c:grouping val="clustered"/>
        <c:varyColors val="0"/>
        <c:ser>
          <c:idx val="4"/>
          <c:order val="3"/>
          <c:tx>
            <c:strRef>
              <c:f>'Ouputs updated'!$F$13</c:f>
              <c:strCache>
                <c:ptCount val="1"/>
                <c:pt idx="0">
                  <c:v>Avg. L/p/d Produced</c:v>
                </c:pt>
              </c:strCache>
            </c:strRef>
          </c:tx>
          <c:spPr>
            <a:solidFill>
              <a:srgbClr val="0070C0"/>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'Ouputs updated'!$A$14:$A$19</c:f>
              <c:strCache>
                <c:ptCount val="6"/>
                <c:pt idx="0">
                  <c:v>North</c:v>
                </c:pt>
                <c:pt idx="1">
                  <c:v>Gaza</c:v>
                </c:pt>
                <c:pt idx="2">
                  <c:v>Middle</c:v>
                </c:pt>
                <c:pt idx="3">
                  <c:v>Khan Yunis</c:v>
                </c:pt>
                <c:pt idx="4">
                  <c:v>Rafah</c:v>
                </c:pt>
                <c:pt idx="5">
                  <c:v>Average</c:v>
                </c:pt>
              </c:strCache>
            </c:strRef>
          </c:cat>
          <c:val>
            <c:numRef>
              <c:f>'Ouputs updated'!$F$14:$F$19</c:f>
              <c:numCache>
                <c:formatCode>0.0</c:formatCode>
                <c:ptCount val="6"/>
                <c:pt idx="0">
                  <c:v>176.95268966212871</c:v>
                </c:pt>
                <c:pt idx="1">
                  <c:v>137.65778246216723</c:v>
                </c:pt>
                <c:pt idx="2">
                  <c:v>132.58022513062622</c:v>
                </c:pt>
                <c:pt idx="3">
                  <c:v>104.73176778832006</c:v>
                </c:pt>
                <c:pt idx="4">
                  <c:v>106.67175071317929</c:v>
                </c:pt>
                <c:pt idx="5">
                  <c:v>140.44681428589584</c:v>
                </c:pt>
              </c:numCache>
            </c:numRef>
          </c:val>
        </c:ser>
        <c:ser>
          <c:idx val="3"/>
          <c:order val="4"/>
          <c:tx>
            <c:strRef>
              <c:f>'Ouputs updated'!$E$13</c:f>
              <c:strCache>
                <c:ptCount val="1"/>
                <c:pt idx="0">
                  <c:v>Avg. L/p/d Consumed</c:v>
                </c:pt>
              </c:strCache>
            </c:strRef>
          </c:tx>
          <c:spPr>
            <a:solidFill>
              <a:srgbClr val="00B0F0"/>
            </a:solidFill>
            <a:ln>
              <a:noFill/>
            </a:ln>
            <a:effectLst/>
          </c:spPr>
          <c:invertIfNegative val="0"/>
          <c:dLbls>
            <c:dLbl>
              <c:idx val="0"/>
              <c:dLblPos val="inEnd"/>
              <c:showLegendKey val="0"/>
              <c:showVal val="1"/>
              <c:showCatName val="0"/>
              <c:showSerName val="0"/>
              <c:showPercent val="0"/>
              <c:showBubbleSize val="0"/>
              <c:extLst>
                <c:ext xmlns:c15="http://schemas.microsoft.com/office/drawing/2012/chart" uri="{CE6537A1-D6FC-4f65-9D91-7224C49458BB}"/>
              </c:extLst>
            </c:dLbl>
            <c:dLbl>
              <c:idx val="1"/>
              <c:dLblPos val="inEnd"/>
              <c:showLegendKey val="0"/>
              <c:showVal val="1"/>
              <c:showCatName val="0"/>
              <c:showSerName val="0"/>
              <c:showPercent val="0"/>
              <c:showBubbleSize val="0"/>
              <c:extLst>
                <c:ext xmlns:c15="http://schemas.microsoft.com/office/drawing/2012/chart" uri="{CE6537A1-D6FC-4f65-9D91-7224C49458BB}"/>
              </c:extLst>
            </c:dLbl>
            <c:dLbl>
              <c:idx val="2"/>
              <c:dLblPos val="inEnd"/>
              <c:showLegendKey val="0"/>
              <c:showVal val="1"/>
              <c:showCatName val="0"/>
              <c:showSerName val="0"/>
              <c:showPercent val="0"/>
              <c:showBubbleSize val="0"/>
              <c:extLst>
                <c:ext xmlns:c15="http://schemas.microsoft.com/office/drawing/2012/chart" uri="{CE6537A1-D6FC-4f65-9D91-7224C49458BB}"/>
              </c:extLst>
            </c:dLbl>
            <c:dLbl>
              <c:idx val="3"/>
              <c:dLblPos val="inEnd"/>
              <c:showLegendKey val="0"/>
              <c:showVal val="1"/>
              <c:showCatName val="0"/>
              <c:showSerName val="0"/>
              <c:showPercent val="0"/>
              <c:showBubbleSize val="0"/>
              <c:extLst>
                <c:ext xmlns:c15="http://schemas.microsoft.com/office/drawing/2012/chart" uri="{CE6537A1-D6FC-4f65-9D91-7224C49458BB}"/>
              </c:extLst>
            </c:dLbl>
            <c:dLbl>
              <c:idx val="4"/>
              <c:dLblPos val="inEnd"/>
              <c:showLegendKey val="0"/>
              <c:showVal val="1"/>
              <c:showCatName val="0"/>
              <c:showSerName val="0"/>
              <c:showPercent val="0"/>
              <c:showBubbleSize val="0"/>
              <c:extLst>
                <c:ext xmlns:c15="http://schemas.microsoft.com/office/drawing/2012/chart" uri="{CE6537A1-D6FC-4f65-9D91-7224C49458BB}"/>
              </c:extLst>
            </c:dLbl>
            <c:dLbl>
              <c:idx val="5"/>
              <c:dLblPos val="inEnd"/>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'Ouputs updated'!$A$14:$A$19</c:f>
              <c:strCache>
                <c:ptCount val="6"/>
                <c:pt idx="0">
                  <c:v>North</c:v>
                </c:pt>
                <c:pt idx="1">
                  <c:v>Gaza</c:v>
                </c:pt>
                <c:pt idx="2">
                  <c:v>Middle</c:v>
                </c:pt>
                <c:pt idx="3">
                  <c:v>Khan Yunis</c:v>
                </c:pt>
                <c:pt idx="4">
                  <c:v>Rafah</c:v>
                </c:pt>
                <c:pt idx="5">
                  <c:v>Average</c:v>
                </c:pt>
              </c:strCache>
            </c:strRef>
          </c:cat>
          <c:val>
            <c:numRef>
              <c:f>'Ouputs updated'!$E$14:$E$19</c:f>
              <c:numCache>
                <c:formatCode>0.0</c:formatCode>
                <c:ptCount val="6"/>
                <c:pt idx="0">
                  <c:v>92.866856526377788</c:v>
                </c:pt>
                <c:pt idx="1">
                  <c:v>83.522469599414592</c:v>
                </c:pt>
                <c:pt idx="2">
                  <c:v>80.345223796151231</c:v>
                </c:pt>
                <c:pt idx="3">
                  <c:v>68.550181511345954</c:v>
                </c:pt>
                <c:pt idx="4">
                  <c:v>68.671108198036919</c:v>
                </c:pt>
                <c:pt idx="5">
                  <c:v>80.23938983824425</c:v>
                </c:pt>
              </c:numCache>
            </c:numRef>
          </c:val>
        </c:ser>
        <c:dLbls>
          <c:showLegendKey val="0"/>
          <c:showVal val="0"/>
          <c:showCatName val="0"/>
          <c:showSerName val="0"/>
          <c:showPercent val="0"/>
          <c:showBubbleSize val="0"/>
        </c:dLbls>
        <c:gapWidth val="80"/>
        <c:axId val="313542072"/>
        <c:axId val="488809328"/>
        <c:extLst>
          <c:ext xmlns:c15="http://schemas.microsoft.com/office/drawing/2012/chart" uri="{02D57815-91ED-43cb-92C2-25804820EDAC}">
            <c15:filteredBarSeries>
              <c15:ser>
                <c:idx val="0"/>
                <c:order val="0"/>
                <c:tx>
                  <c:strRef>
                    <c:extLst>
                      <c:ext uri="{02D57815-91ED-43cb-92C2-25804820EDAC}">
                        <c15:formulaRef>
                          <c15:sqref>'Ouputs updated'!$B$13</c15:sqref>
                        </c15:formulaRef>
                      </c:ext>
                    </c:extLst>
                    <c:strCache>
                      <c:ptCount val="1"/>
                      <c:pt idx="0">
                        <c:v>Population</c:v>
                      </c:pt>
                    </c:strCache>
                  </c:strRef>
                </c:tx>
                <c:spPr>
                  <a:solidFill>
                    <a:schemeClr val="accent1">
                      <a:tint val="50000"/>
                    </a:schemeClr>
                  </a:solidFill>
                  <a:ln>
                    <a:noFill/>
                  </a:ln>
                  <a:effectLst/>
                </c:spPr>
                <c:invertIfNegative val="0"/>
                <c:cat>
                  <c:strRef>
                    <c:extLst>
                      <c:ext uri="{02D57815-91ED-43cb-92C2-25804820EDAC}">
                        <c15:formulaRef>
                          <c15:sqref>'Ouputs updated'!$A$14:$A$19</c15:sqref>
                        </c15:formulaRef>
                      </c:ext>
                    </c:extLst>
                    <c:strCache>
                      <c:ptCount val="6"/>
                      <c:pt idx="0">
                        <c:v>North</c:v>
                      </c:pt>
                      <c:pt idx="1">
                        <c:v>Gaza</c:v>
                      </c:pt>
                      <c:pt idx="2">
                        <c:v>Middle</c:v>
                      </c:pt>
                      <c:pt idx="3">
                        <c:v>Khan Yunis</c:v>
                      </c:pt>
                      <c:pt idx="4">
                        <c:v>Rafah</c:v>
                      </c:pt>
                      <c:pt idx="5">
                        <c:v>Average</c:v>
                      </c:pt>
                    </c:strCache>
                  </c:strRef>
                </c:cat>
                <c:val>
                  <c:numRef>
                    <c:extLst>
                      <c:ext uri="{02D57815-91ED-43cb-92C2-25804820EDAC}">
                        <c15:formulaRef>
                          <c15:sqref>('Ouputs updated'!$B$14:$B$19,'Ouputs updated'!$B$21:$B$22)</c15:sqref>
                        </c15:formulaRef>
                      </c:ext>
                    </c:extLst>
                    <c:numCache>
                      <c:formatCode>General</c:formatCode>
                      <c:ptCount val="8"/>
                      <c:pt idx="0">
                        <c:v>369131</c:v>
                      </c:pt>
                      <c:pt idx="1">
                        <c:v>623243</c:v>
                      </c:pt>
                      <c:pt idx="2">
                        <c:v>285988</c:v>
                      </c:pt>
                      <c:pt idx="3">
                        <c:v>348814</c:v>
                      </c:pt>
                      <c:pt idx="4">
                        <c:v>229961</c:v>
                      </c:pt>
                      <c:pt idx="5">
                        <c:v>1857137</c:v>
                      </c:pt>
                      <c:pt idx="6">
                        <c:v>0</c:v>
                      </c:pt>
                      <c:pt idx="7">
                        <c:v>100</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'Ouputs updated'!$C$13</c15:sqref>
                        </c15:formulaRef>
                      </c:ext>
                    </c:extLst>
                    <c:strCache>
                      <c:ptCount val="1"/>
                      <c:pt idx="0">
                        <c:v>Water Consumption</c:v>
                      </c:pt>
                    </c:strCache>
                  </c:strRef>
                </c:tx>
                <c:spPr>
                  <a:solidFill>
                    <a:schemeClr val="accent1">
                      <a:tint val="70000"/>
                    </a:schemeClr>
                  </a:solidFill>
                  <a:ln>
                    <a:noFill/>
                  </a:ln>
                  <a:effectLst/>
                </c:spPr>
                <c:invertIfNegative val="0"/>
                <c:cat>
                  <c:strRef>
                    <c:extLst xmlns:c15="http://schemas.microsoft.com/office/drawing/2012/chart">
                      <c:ext xmlns:c15="http://schemas.microsoft.com/office/drawing/2012/chart" uri="{02D57815-91ED-43cb-92C2-25804820EDAC}">
                        <c15:formulaRef>
                          <c15:sqref>'Ouputs updated'!$A$14:$A$19</c15:sqref>
                        </c15:formulaRef>
                      </c:ext>
                    </c:extLst>
                    <c:strCache>
                      <c:ptCount val="6"/>
                      <c:pt idx="0">
                        <c:v>North</c:v>
                      </c:pt>
                      <c:pt idx="1">
                        <c:v>Gaza</c:v>
                      </c:pt>
                      <c:pt idx="2">
                        <c:v>Middle</c:v>
                      </c:pt>
                      <c:pt idx="3">
                        <c:v>Khan Yunis</c:v>
                      </c:pt>
                      <c:pt idx="4">
                        <c:v>Rafah</c:v>
                      </c:pt>
                      <c:pt idx="5">
                        <c:v>Average</c:v>
                      </c:pt>
                    </c:strCache>
                  </c:strRef>
                </c:cat>
                <c:val>
                  <c:numRef>
                    <c:extLst xmlns:c15="http://schemas.microsoft.com/office/drawing/2012/chart">
                      <c:ext xmlns:c15="http://schemas.microsoft.com/office/drawing/2012/chart" uri="{02D57815-91ED-43cb-92C2-25804820EDAC}">
                        <c15:formulaRef>
                          <c15:sqref>'Ouputs updated'!$C$14:$C$19</c15:sqref>
                        </c15:formulaRef>
                      </c:ext>
                    </c:extLst>
                    <c:numCache>
                      <c:formatCode>General</c:formatCode>
                      <c:ptCount val="6"/>
                      <c:pt idx="0">
                        <c:v>12512213</c:v>
                      </c:pt>
                      <c:pt idx="1">
                        <c:v>19000000</c:v>
                      </c:pt>
                      <c:pt idx="2">
                        <c:v>8386886</c:v>
                      </c:pt>
                      <c:pt idx="3">
                        <c:v>8727611</c:v>
                      </c:pt>
                      <c:pt idx="4">
                        <c:v>5763962</c:v>
                      </c:pt>
                      <c:pt idx="5">
                        <c:v>54390672</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'Ouputs updated'!$D$13</c15:sqref>
                        </c15:formulaRef>
                      </c:ext>
                    </c:extLst>
                    <c:strCache>
                      <c:ptCount val="1"/>
                      <c:pt idx="0">
                        <c:v>Water Supplied</c:v>
                      </c:pt>
                    </c:strCache>
                  </c:strRef>
                </c:tx>
                <c:spPr>
                  <a:solidFill>
                    <a:schemeClr val="accent1">
                      <a:tint val="90000"/>
                    </a:schemeClr>
                  </a:solidFill>
                  <a:ln>
                    <a:noFill/>
                  </a:ln>
                  <a:effectLst/>
                </c:spPr>
                <c:invertIfNegative val="0"/>
                <c:cat>
                  <c:strRef>
                    <c:extLst xmlns:c15="http://schemas.microsoft.com/office/drawing/2012/chart">
                      <c:ext xmlns:c15="http://schemas.microsoft.com/office/drawing/2012/chart" uri="{02D57815-91ED-43cb-92C2-25804820EDAC}">
                        <c15:formulaRef>
                          <c15:sqref>'Ouputs updated'!$A$14:$A$19</c15:sqref>
                        </c15:formulaRef>
                      </c:ext>
                    </c:extLst>
                    <c:strCache>
                      <c:ptCount val="6"/>
                      <c:pt idx="0">
                        <c:v>North</c:v>
                      </c:pt>
                      <c:pt idx="1">
                        <c:v>Gaza</c:v>
                      </c:pt>
                      <c:pt idx="2">
                        <c:v>Middle</c:v>
                      </c:pt>
                      <c:pt idx="3">
                        <c:v>Khan Yunis</c:v>
                      </c:pt>
                      <c:pt idx="4">
                        <c:v>Rafah</c:v>
                      </c:pt>
                      <c:pt idx="5">
                        <c:v>Average</c:v>
                      </c:pt>
                    </c:strCache>
                  </c:strRef>
                </c:cat>
                <c:val>
                  <c:numRef>
                    <c:extLst xmlns:c15="http://schemas.microsoft.com/office/drawing/2012/chart">
                      <c:ext xmlns:c15="http://schemas.microsoft.com/office/drawing/2012/chart" uri="{02D57815-91ED-43cb-92C2-25804820EDAC}">
                        <c15:formulaRef>
                          <c15:sqref>'Ouputs updated'!$D$14:$D$19</c15:sqref>
                        </c15:formulaRef>
                      </c:ext>
                    </c:extLst>
                    <c:numCache>
                      <c:formatCode>General</c:formatCode>
                      <c:ptCount val="6"/>
                      <c:pt idx="0">
                        <c:v>23841334</c:v>
                      </c:pt>
                      <c:pt idx="1">
                        <c:v>31314901</c:v>
                      </c:pt>
                      <c:pt idx="2">
                        <c:v>13839469</c:v>
                      </c:pt>
                      <c:pt idx="3">
                        <c:v>13334146</c:v>
                      </c:pt>
                      <c:pt idx="4">
                        <c:v>8953575</c:v>
                      </c:pt>
                      <c:pt idx="5">
                        <c:v>95202576</c:v>
                      </c:pt>
                    </c:numCache>
                  </c:numRef>
                </c:val>
              </c15:ser>
            </c15:filteredBarSeries>
          </c:ext>
        </c:extLst>
      </c:barChart>
      <c:scatterChart>
        <c:scatterStyle val="smoothMarker"/>
        <c:varyColors val="0"/>
        <c:ser>
          <c:idx val="5"/>
          <c:order val="5"/>
          <c:tx>
            <c:strRef>
              <c:f>'Ouputs updated'!$B$21</c:f>
              <c:strCache>
                <c:ptCount val="1"/>
                <c:pt idx="0">
                  <c:v>WHO Recommendation</c:v>
                </c:pt>
              </c:strCache>
            </c:strRef>
          </c:tx>
          <c:spPr>
            <a:ln w="28575" cap="rnd">
              <a:solidFill>
                <a:schemeClr val="accent1">
                  <a:shade val="50000"/>
                </a:schemeClr>
              </a:solidFill>
              <a:round/>
            </a:ln>
            <a:effectLst/>
          </c:spPr>
          <c:marker>
            <c:symbol val="none"/>
          </c:marker>
          <c:dPt>
            <c:idx val="1"/>
            <c:marker>
              <c:symbol val="none"/>
            </c:marker>
            <c:bubble3D val="0"/>
            <c:spPr>
              <a:ln w="28575" cap="rnd">
                <a:solidFill>
                  <a:schemeClr val="tx1">
                    <a:lumMod val="50000"/>
                    <a:lumOff val="50000"/>
                  </a:schemeClr>
                </a:solidFill>
                <a:round/>
              </a:ln>
              <a:effectLst/>
            </c:spPr>
          </c:dPt>
          <c:xVal>
            <c:numRef>
              <c:f>'Ouputs updated'!$A$22:$A$23</c:f>
              <c:numCache>
                <c:formatCode>General</c:formatCode>
                <c:ptCount val="2"/>
                <c:pt idx="0">
                  <c:v>0</c:v>
                </c:pt>
                <c:pt idx="1">
                  <c:v>1</c:v>
                </c:pt>
              </c:numCache>
            </c:numRef>
          </c:xVal>
          <c:yVal>
            <c:numRef>
              <c:f>'Ouputs updated'!$B$22:$B$23</c:f>
              <c:numCache>
                <c:formatCode>General</c:formatCode>
                <c:ptCount val="2"/>
                <c:pt idx="0">
                  <c:v>100</c:v>
                </c:pt>
                <c:pt idx="1">
                  <c:v>100</c:v>
                </c:pt>
              </c:numCache>
            </c:numRef>
          </c:yVal>
          <c:smooth val="1"/>
        </c:ser>
        <c:dLbls>
          <c:showLegendKey val="0"/>
          <c:showVal val="0"/>
          <c:showCatName val="0"/>
          <c:showSerName val="0"/>
          <c:showPercent val="0"/>
          <c:showBubbleSize val="0"/>
        </c:dLbls>
        <c:axId val="488812072"/>
        <c:axId val="488810896"/>
      </c:scatterChart>
      <c:catAx>
        <c:axId val="313542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809328"/>
        <c:crosses val="autoZero"/>
        <c:auto val="1"/>
        <c:lblAlgn val="ctr"/>
        <c:lblOffset val="100"/>
        <c:noMultiLvlLbl val="0"/>
      </c:catAx>
      <c:valAx>
        <c:axId val="488809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542072"/>
        <c:crosses val="autoZero"/>
        <c:crossBetween val="between"/>
        <c:majorUnit val="25"/>
      </c:valAx>
      <c:valAx>
        <c:axId val="488810896"/>
        <c:scaling>
          <c:orientation val="minMax"/>
          <c:max val="1"/>
        </c:scaling>
        <c:delete val="1"/>
        <c:axPos val="r"/>
        <c:numFmt formatCode="General" sourceLinked="1"/>
        <c:majorTickMark val="none"/>
        <c:minorTickMark val="none"/>
        <c:tickLblPos val="none"/>
        <c:crossAx val="488812072"/>
        <c:crosses val="max"/>
        <c:crossBetween val="midCat"/>
      </c:valAx>
      <c:valAx>
        <c:axId val="488812072"/>
        <c:scaling>
          <c:orientation val="minMax"/>
          <c:max val="1"/>
        </c:scaling>
        <c:delete val="0"/>
        <c:axPos val="t"/>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810896"/>
        <c:crosses val="max"/>
        <c:crossBetween val="midCat"/>
      </c:valAx>
      <c:spPr>
        <a:noFill/>
        <a:ln>
          <a:noFill/>
        </a:ln>
        <a:effectLst/>
      </c:spPr>
    </c:plotArea>
    <c:legend>
      <c:legendPos val="r"/>
      <c:layout>
        <c:manualLayout>
          <c:xMode val="edge"/>
          <c:yMode val="edge"/>
          <c:x val="0.77306154928799697"/>
          <c:y val="0.23924106109625604"/>
          <c:w val="0.22334197525794799"/>
          <c:h val="0.6707361392208712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pivotSource>
    <c:name>[Gaza WASH Assessment_raw data_GVC_edited.xlsx]Sheet1!PivotTable16</c:name>
    <c:fmtId val="-1"/>
  </c:pivotSource>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a:t>Domestic Water</a:t>
            </a:r>
            <a:r>
              <a:rPr lang="en-US" baseline="0"/>
              <a:t> Tank Volume by HH Income Quintile</a:t>
            </a:r>
            <a:endParaRPr lang="en-US"/>
          </a:p>
        </c:rich>
      </c:tx>
      <c:layout>
        <c:manualLayout>
          <c:xMode val="edge"/>
          <c:yMode val="edge"/>
          <c:x val="5.2640766602287926E-2"/>
          <c:y val="2.7477014474987037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3"/>
          </a:solidFill>
          <a:ln>
            <a:noFill/>
          </a:ln>
          <a:effectLst/>
        </c:spPr>
        <c:marker>
          <c:symbol val="none"/>
        </c:marker>
      </c:pivotFmt>
      <c:pivotFmt>
        <c:idx val="1"/>
        <c:spPr>
          <a:solidFill>
            <a:schemeClr val="accent3"/>
          </a:solidFill>
          <a:ln>
            <a:noFill/>
          </a:ln>
          <a:effectLst/>
        </c:spPr>
        <c:marker>
          <c:symbol val="none"/>
        </c:marker>
      </c:pivotFmt>
      <c:pivotFmt>
        <c:idx val="2"/>
        <c:spPr>
          <a:solidFill>
            <a:schemeClr val="accent3"/>
          </a:solidFill>
          <a:ln>
            <a:noFill/>
          </a:ln>
          <a:effectLst/>
        </c:spPr>
        <c:marker>
          <c:symbol val="none"/>
        </c:marker>
      </c:pivotFmt>
      <c:pivotFmt>
        <c:idx val="3"/>
        <c:spPr>
          <a:solidFill>
            <a:schemeClr val="accent3"/>
          </a:solidFill>
          <a:ln>
            <a:noFill/>
          </a:ln>
          <a:effectLst/>
        </c:spPr>
        <c:marker>
          <c:symbol val="none"/>
        </c:marker>
      </c:pivotFmt>
      <c:pivotFmt>
        <c:idx val="4"/>
        <c:spPr>
          <a:solidFill>
            <a:schemeClr val="accent3"/>
          </a:solidFill>
          <a:ln>
            <a:noFill/>
          </a:ln>
          <a:effectLst/>
        </c:spPr>
        <c:marker>
          <c:symbol val="none"/>
        </c:marker>
      </c:pivotFmt>
      <c:pivotFmt>
        <c:idx val="5"/>
        <c:spPr>
          <a:solidFill>
            <a:schemeClr val="accent3"/>
          </a:solidFill>
          <a:ln>
            <a:noFill/>
          </a:ln>
          <a:effectLst/>
        </c:spPr>
        <c:marker>
          <c:symbol val="none"/>
        </c:marker>
      </c:pivotFmt>
      <c:pivotFmt>
        <c:idx val="6"/>
        <c:spPr>
          <a:solidFill>
            <a:schemeClr val="accent3"/>
          </a:solidFill>
          <a:ln>
            <a:noFill/>
          </a:ln>
          <a:effectLst/>
        </c:spPr>
        <c:marker>
          <c:symbol val="none"/>
        </c:marker>
      </c:pivotFmt>
      <c:pivotFmt>
        <c:idx val="7"/>
        <c:spPr>
          <a:solidFill>
            <a:schemeClr val="accent3"/>
          </a:solidFill>
          <a:ln>
            <a:noFill/>
          </a:ln>
          <a:effectLst/>
        </c:spPr>
        <c:marker>
          <c:symbol val="none"/>
        </c:marker>
      </c:pivotFmt>
      <c:pivotFmt>
        <c:idx val="8"/>
        <c:spPr>
          <a:solidFill>
            <a:schemeClr val="accent3"/>
          </a:solidFill>
          <a:ln>
            <a:noFill/>
          </a:ln>
          <a:effectLst/>
        </c:spPr>
        <c:marker>
          <c:symbol val="none"/>
        </c:marker>
      </c:pivotFmt>
      <c:pivotFmt>
        <c:idx val="9"/>
        <c:spPr>
          <a:solidFill>
            <a:schemeClr val="accent3"/>
          </a:solidFill>
          <a:ln>
            <a:noFill/>
          </a:ln>
          <a:effectLst/>
        </c:spPr>
        <c:marker>
          <c:symbol val="none"/>
        </c:marker>
      </c:pivotFmt>
      <c:pivotFmt>
        <c:idx val="10"/>
        <c:spPr>
          <a:solidFill>
            <a:schemeClr val="accent3"/>
          </a:solidFill>
          <a:ln>
            <a:noFill/>
          </a:ln>
          <a:effectLst/>
        </c:spPr>
        <c:marker>
          <c:symbol val="none"/>
        </c:marker>
      </c:pivotFmt>
      <c:pivotFmt>
        <c:idx val="11"/>
        <c:spPr>
          <a:solidFill>
            <a:schemeClr val="accent3"/>
          </a:solidFill>
          <a:ln>
            <a:noFill/>
          </a:ln>
          <a:effectLst/>
        </c:spPr>
        <c:marker>
          <c:symbol val="none"/>
        </c:marker>
      </c:pivotFmt>
      <c:pivotFmt>
        <c:idx val="12"/>
        <c:spPr>
          <a:solidFill>
            <a:schemeClr val="accent3"/>
          </a:solidFill>
          <a:ln>
            <a:noFill/>
          </a:ln>
          <a:effectLst/>
        </c:spPr>
        <c:marker>
          <c:symbol val="none"/>
        </c:marker>
      </c:pivotFmt>
      <c:pivotFmt>
        <c:idx val="13"/>
        <c:spPr>
          <a:solidFill>
            <a:schemeClr val="accent3"/>
          </a:solidFill>
          <a:ln>
            <a:noFill/>
          </a:ln>
          <a:effectLst/>
        </c:spPr>
        <c:marker>
          <c:symbol val="none"/>
        </c:marker>
      </c:pivotFmt>
      <c:pivotFmt>
        <c:idx val="14"/>
        <c:spPr>
          <a:solidFill>
            <a:schemeClr val="accent3"/>
          </a:solidFill>
          <a:ln>
            <a:noFill/>
          </a:ln>
          <a:effectLst/>
        </c:spPr>
        <c:marker>
          <c:symbol val="none"/>
        </c:marker>
      </c:pivotFmt>
      <c:pivotFmt>
        <c:idx val="15"/>
        <c:spPr>
          <a:solidFill>
            <a:schemeClr val="accent3"/>
          </a:solidFill>
          <a:ln>
            <a:noFill/>
          </a:ln>
          <a:effectLst/>
        </c:spPr>
        <c:marker>
          <c:symbol val="none"/>
        </c:marker>
      </c:pivotFmt>
      <c:pivotFmt>
        <c:idx val="16"/>
        <c:spPr>
          <a:solidFill>
            <a:schemeClr val="accent3"/>
          </a:solidFill>
          <a:ln>
            <a:noFill/>
          </a:ln>
          <a:effectLst/>
        </c:spPr>
        <c:marker>
          <c:symbol val="none"/>
        </c:marker>
      </c:pivotFmt>
      <c:pivotFmt>
        <c:idx val="17"/>
        <c:spPr>
          <a:solidFill>
            <a:schemeClr val="accent3"/>
          </a:solidFill>
          <a:ln>
            <a:noFill/>
          </a:ln>
          <a:effectLst/>
        </c:spPr>
        <c:marker>
          <c:symbol val="none"/>
        </c:marker>
      </c:pivotFmt>
      <c:pivotFmt>
        <c:idx val="18"/>
        <c:spPr>
          <a:solidFill>
            <a:schemeClr val="accent3"/>
          </a:solidFill>
          <a:ln>
            <a:noFill/>
          </a:ln>
          <a:effectLst/>
        </c:spPr>
        <c:marker>
          <c:symbol val="none"/>
        </c:marker>
      </c:pivotFmt>
      <c:pivotFmt>
        <c:idx val="19"/>
        <c:spPr>
          <a:solidFill>
            <a:schemeClr val="accent3"/>
          </a:solidFill>
          <a:ln>
            <a:noFill/>
          </a:ln>
          <a:effectLst/>
        </c:spPr>
        <c:marker>
          <c:symbol val="none"/>
        </c:marker>
      </c:pivotFmt>
      <c:pivotFmt>
        <c:idx val="20"/>
        <c:spPr>
          <a:solidFill>
            <a:schemeClr val="accent3"/>
          </a:solidFill>
          <a:ln>
            <a:noFill/>
          </a:ln>
          <a:effectLst/>
        </c:spPr>
        <c:marker>
          <c:symbol val="none"/>
        </c:marker>
      </c:pivotFmt>
      <c:pivotFmt>
        <c:idx val="21"/>
        <c:spPr>
          <a:solidFill>
            <a:schemeClr val="accent3"/>
          </a:solidFill>
          <a:ln>
            <a:noFill/>
          </a:ln>
          <a:effectLst/>
        </c:spPr>
        <c:marker>
          <c:symbol val="none"/>
        </c:marker>
      </c:pivotFmt>
      <c:pivotFmt>
        <c:idx val="22"/>
        <c:spPr>
          <a:solidFill>
            <a:schemeClr val="accent3"/>
          </a:solidFill>
          <a:ln>
            <a:noFill/>
          </a:ln>
          <a:effectLst/>
        </c:spPr>
        <c:marker>
          <c:symbol val="none"/>
        </c:marker>
      </c:pivotFmt>
      <c:pivotFmt>
        <c:idx val="23"/>
        <c:spPr>
          <a:solidFill>
            <a:schemeClr val="accent3"/>
          </a:solidFill>
          <a:ln>
            <a:noFill/>
          </a:ln>
          <a:effectLst/>
        </c:spPr>
        <c:marker>
          <c:symbol val="none"/>
        </c:marker>
      </c:pivotFmt>
      <c:pivotFmt>
        <c:idx val="24"/>
        <c:spPr>
          <a:solidFill>
            <a:schemeClr val="accent3"/>
          </a:solidFill>
          <a:ln>
            <a:noFill/>
          </a:ln>
          <a:effectLst/>
        </c:spPr>
        <c:marker>
          <c:symbol val="none"/>
        </c:marker>
      </c:pivotFmt>
      <c:pivotFmt>
        <c:idx val="25"/>
        <c:spPr>
          <a:solidFill>
            <a:schemeClr val="accent3"/>
          </a:solidFill>
          <a:ln>
            <a:noFill/>
          </a:ln>
          <a:effectLst/>
        </c:spPr>
        <c:marker>
          <c:symbol val="none"/>
        </c:marker>
      </c:pivotFmt>
      <c:pivotFmt>
        <c:idx val="26"/>
        <c:spPr>
          <a:solidFill>
            <a:schemeClr val="accent3"/>
          </a:solidFill>
          <a:ln>
            <a:noFill/>
          </a:ln>
          <a:effectLst/>
        </c:spPr>
        <c:marker>
          <c:symbol val="none"/>
        </c:marker>
      </c:pivotFmt>
      <c:pivotFmt>
        <c:idx val="27"/>
        <c:spPr>
          <a:solidFill>
            <a:schemeClr val="accent3"/>
          </a:solidFill>
          <a:ln>
            <a:noFill/>
          </a:ln>
          <a:effectLst/>
        </c:spPr>
        <c:marker>
          <c:symbol val="none"/>
        </c:marker>
      </c:pivotFmt>
      <c:pivotFmt>
        <c:idx val="28"/>
        <c:spPr>
          <a:solidFill>
            <a:schemeClr val="accent3"/>
          </a:solidFill>
          <a:ln>
            <a:noFill/>
          </a:ln>
          <a:effectLst/>
        </c:spPr>
        <c:marker>
          <c:symbol val="none"/>
        </c:marker>
      </c:pivotFmt>
      <c:pivotFmt>
        <c:idx val="29"/>
        <c:spPr>
          <a:solidFill>
            <a:schemeClr val="accent3"/>
          </a:solidFill>
          <a:ln>
            <a:noFill/>
          </a:ln>
          <a:effectLst/>
        </c:spPr>
        <c:marker>
          <c:symbol val="none"/>
        </c:marker>
      </c:pivotFmt>
      <c:pivotFmt>
        <c:idx val="30"/>
        <c:spPr>
          <a:solidFill>
            <a:schemeClr val="accent3"/>
          </a:solidFill>
          <a:ln>
            <a:noFill/>
          </a:ln>
          <a:effectLst/>
        </c:spPr>
        <c:marker>
          <c:symbol val="none"/>
        </c:marker>
      </c:pivotFmt>
      <c:pivotFmt>
        <c:idx val="31"/>
        <c:spPr>
          <a:solidFill>
            <a:schemeClr val="accent3"/>
          </a:solidFill>
          <a:ln>
            <a:noFill/>
          </a:ln>
          <a:effectLst/>
        </c:spPr>
        <c:marker>
          <c:symbol val="none"/>
        </c:marker>
      </c:pivotFmt>
      <c:pivotFmt>
        <c:idx val="32"/>
        <c:spPr>
          <a:solidFill>
            <a:schemeClr val="accent3"/>
          </a:solidFill>
          <a:ln>
            <a:noFill/>
          </a:ln>
          <a:effectLst/>
        </c:spPr>
        <c:marker>
          <c:symbol val="none"/>
        </c:marker>
      </c:pivotFmt>
    </c:pivotFmts>
    <c:plotArea>
      <c:layout>
        <c:manualLayout>
          <c:layoutTarget val="inner"/>
          <c:xMode val="edge"/>
          <c:yMode val="edge"/>
          <c:x val="6.5685881245976324E-2"/>
          <c:y val="0.1874468085106383"/>
          <c:w val="0.76343336799881145"/>
          <c:h val="0.64802647009549341"/>
        </c:manualLayout>
      </c:layout>
      <c:barChart>
        <c:barDir val="bar"/>
        <c:grouping val="percentStacked"/>
        <c:varyColors val="0"/>
        <c:ser>
          <c:idx val="0"/>
          <c:order val="0"/>
          <c:tx>
            <c:strRef>
              <c:f>Sheet1!$AF$62:$AF$63</c:f>
              <c:strCache>
                <c:ptCount val="1"/>
                <c:pt idx="0">
                  <c:v>0</c:v>
                </c:pt>
              </c:strCache>
            </c:strRef>
          </c:tx>
          <c:spPr>
            <a:solidFill>
              <a:schemeClr val="accent6">
                <a:lumMod val="75000"/>
              </a:schemeClr>
            </a:solidFill>
            <a:ln>
              <a:noFill/>
            </a:ln>
            <a:effectLst/>
          </c:spPr>
          <c:invertIfNegative val="0"/>
          <c:cat>
            <c:strRef>
              <c:f>Sheet1!$AE$64:$AE$69</c:f>
              <c:strCache>
                <c:ptCount val="5"/>
                <c:pt idx="0">
                  <c:v>1</c:v>
                </c:pt>
                <c:pt idx="1">
                  <c:v>2</c:v>
                </c:pt>
                <c:pt idx="2">
                  <c:v>3</c:v>
                </c:pt>
                <c:pt idx="3">
                  <c:v>4</c:v>
                </c:pt>
                <c:pt idx="4">
                  <c:v>5</c:v>
                </c:pt>
              </c:strCache>
            </c:strRef>
          </c:cat>
          <c:val>
            <c:numRef>
              <c:f>Sheet1!$AF$64:$AF$69</c:f>
              <c:numCache>
                <c:formatCode>General</c:formatCode>
                <c:ptCount val="5"/>
                <c:pt idx="0">
                  <c:v>13</c:v>
                </c:pt>
                <c:pt idx="1">
                  <c:v>3</c:v>
                </c:pt>
              </c:numCache>
            </c:numRef>
          </c:val>
        </c:ser>
        <c:ser>
          <c:idx val="1"/>
          <c:order val="1"/>
          <c:tx>
            <c:strRef>
              <c:f>Sheet1!$AG$62:$AG$63</c:f>
              <c:strCache>
                <c:ptCount val="1"/>
                <c:pt idx="0">
                  <c:v>1-200</c:v>
                </c:pt>
              </c:strCache>
            </c:strRef>
          </c:tx>
          <c:spPr>
            <a:solidFill>
              <a:schemeClr val="accent3">
                <a:tint val="54000"/>
              </a:schemeClr>
            </a:solidFill>
            <a:ln>
              <a:noFill/>
            </a:ln>
            <a:effectLst/>
          </c:spPr>
          <c:invertIfNegative val="0"/>
          <c:cat>
            <c:strRef>
              <c:f>Sheet1!$AE$64:$AE$69</c:f>
              <c:strCache>
                <c:ptCount val="5"/>
                <c:pt idx="0">
                  <c:v>1</c:v>
                </c:pt>
                <c:pt idx="1">
                  <c:v>2</c:v>
                </c:pt>
                <c:pt idx="2">
                  <c:v>3</c:v>
                </c:pt>
                <c:pt idx="3">
                  <c:v>4</c:v>
                </c:pt>
                <c:pt idx="4">
                  <c:v>5</c:v>
                </c:pt>
              </c:strCache>
            </c:strRef>
          </c:cat>
          <c:val>
            <c:numRef>
              <c:f>Sheet1!$AG$64:$AG$69</c:f>
              <c:numCache>
                <c:formatCode>General</c:formatCode>
                <c:ptCount val="5"/>
                <c:pt idx="0">
                  <c:v>27</c:v>
                </c:pt>
                <c:pt idx="1">
                  <c:v>6</c:v>
                </c:pt>
                <c:pt idx="3">
                  <c:v>1</c:v>
                </c:pt>
              </c:numCache>
            </c:numRef>
          </c:val>
        </c:ser>
        <c:ser>
          <c:idx val="2"/>
          <c:order val="2"/>
          <c:tx>
            <c:strRef>
              <c:f>Sheet1!$AH$62:$AH$63</c:f>
              <c:strCache>
                <c:ptCount val="1"/>
                <c:pt idx="0">
                  <c:v>201-400</c:v>
                </c:pt>
              </c:strCache>
            </c:strRef>
          </c:tx>
          <c:spPr>
            <a:solidFill>
              <a:schemeClr val="accent3">
                <a:tint val="65000"/>
              </a:schemeClr>
            </a:solidFill>
            <a:ln>
              <a:noFill/>
            </a:ln>
            <a:effectLst/>
          </c:spPr>
          <c:invertIfNegative val="0"/>
          <c:cat>
            <c:strRef>
              <c:f>Sheet1!$AE$64:$AE$69</c:f>
              <c:strCache>
                <c:ptCount val="5"/>
                <c:pt idx="0">
                  <c:v>1</c:v>
                </c:pt>
                <c:pt idx="1">
                  <c:v>2</c:v>
                </c:pt>
                <c:pt idx="2">
                  <c:v>3</c:v>
                </c:pt>
                <c:pt idx="3">
                  <c:v>4</c:v>
                </c:pt>
                <c:pt idx="4">
                  <c:v>5</c:v>
                </c:pt>
              </c:strCache>
            </c:strRef>
          </c:cat>
          <c:val>
            <c:numRef>
              <c:f>Sheet1!$AH$64:$AH$69</c:f>
              <c:numCache>
                <c:formatCode>General</c:formatCode>
                <c:ptCount val="5"/>
                <c:pt idx="0">
                  <c:v>25</c:v>
                </c:pt>
                <c:pt idx="1">
                  <c:v>7</c:v>
                </c:pt>
                <c:pt idx="2">
                  <c:v>3</c:v>
                </c:pt>
              </c:numCache>
            </c:numRef>
          </c:val>
        </c:ser>
        <c:ser>
          <c:idx val="3"/>
          <c:order val="3"/>
          <c:tx>
            <c:strRef>
              <c:f>Sheet1!$AI$62:$AI$63</c:f>
              <c:strCache>
                <c:ptCount val="1"/>
                <c:pt idx="0">
                  <c:v>401-600</c:v>
                </c:pt>
              </c:strCache>
            </c:strRef>
          </c:tx>
          <c:spPr>
            <a:solidFill>
              <a:schemeClr val="accent3">
                <a:tint val="77000"/>
              </a:schemeClr>
            </a:solidFill>
            <a:ln>
              <a:noFill/>
            </a:ln>
            <a:effectLst/>
          </c:spPr>
          <c:invertIfNegative val="0"/>
          <c:cat>
            <c:strRef>
              <c:f>Sheet1!$AE$64:$AE$69</c:f>
              <c:strCache>
                <c:ptCount val="5"/>
                <c:pt idx="0">
                  <c:v>1</c:v>
                </c:pt>
                <c:pt idx="1">
                  <c:v>2</c:v>
                </c:pt>
                <c:pt idx="2">
                  <c:v>3</c:v>
                </c:pt>
                <c:pt idx="3">
                  <c:v>4</c:v>
                </c:pt>
                <c:pt idx="4">
                  <c:v>5</c:v>
                </c:pt>
              </c:strCache>
            </c:strRef>
          </c:cat>
          <c:val>
            <c:numRef>
              <c:f>Sheet1!$AI$64:$AI$69</c:f>
              <c:numCache>
                <c:formatCode>General</c:formatCode>
                <c:ptCount val="5"/>
                <c:pt idx="0">
                  <c:v>268</c:v>
                </c:pt>
                <c:pt idx="1">
                  <c:v>96</c:v>
                </c:pt>
                <c:pt idx="2">
                  <c:v>17</c:v>
                </c:pt>
                <c:pt idx="3">
                  <c:v>4</c:v>
                </c:pt>
                <c:pt idx="4">
                  <c:v>1</c:v>
                </c:pt>
              </c:numCache>
            </c:numRef>
          </c:val>
        </c:ser>
        <c:ser>
          <c:idx val="4"/>
          <c:order val="4"/>
          <c:tx>
            <c:strRef>
              <c:f>Sheet1!$AJ$62:$AJ$63</c:f>
              <c:strCache>
                <c:ptCount val="1"/>
                <c:pt idx="0">
                  <c:v>601-800</c:v>
                </c:pt>
              </c:strCache>
            </c:strRef>
          </c:tx>
          <c:spPr>
            <a:solidFill>
              <a:schemeClr val="accent3">
                <a:tint val="89000"/>
              </a:schemeClr>
            </a:solidFill>
            <a:ln>
              <a:noFill/>
            </a:ln>
            <a:effectLst/>
          </c:spPr>
          <c:invertIfNegative val="0"/>
          <c:cat>
            <c:strRef>
              <c:f>Sheet1!$AE$64:$AE$69</c:f>
              <c:strCache>
                <c:ptCount val="5"/>
                <c:pt idx="0">
                  <c:v>1</c:v>
                </c:pt>
                <c:pt idx="1">
                  <c:v>2</c:v>
                </c:pt>
                <c:pt idx="2">
                  <c:v>3</c:v>
                </c:pt>
                <c:pt idx="3">
                  <c:v>4</c:v>
                </c:pt>
                <c:pt idx="4">
                  <c:v>5</c:v>
                </c:pt>
              </c:strCache>
            </c:strRef>
          </c:cat>
          <c:val>
            <c:numRef>
              <c:f>Sheet1!$AJ$64:$AJ$69</c:f>
              <c:numCache>
                <c:formatCode>General</c:formatCode>
                <c:ptCount val="5"/>
                <c:pt idx="0">
                  <c:v>36</c:v>
                </c:pt>
                <c:pt idx="1">
                  <c:v>22</c:v>
                </c:pt>
                <c:pt idx="2">
                  <c:v>1</c:v>
                </c:pt>
                <c:pt idx="3">
                  <c:v>1</c:v>
                </c:pt>
              </c:numCache>
            </c:numRef>
          </c:val>
        </c:ser>
        <c:ser>
          <c:idx val="5"/>
          <c:order val="5"/>
          <c:tx>
            <c:strRef>
              <c:f>Sheet1!$AK$62:$AK$63</c:f>
              <c:strCache>
                <c:ptCount val="1"/>
                <c:pt idx="0">
                  <c:v>801-1000</c:v>
                </c:pt>
              </c:strCache>
            </c:strRef>
          </c:tx>
          <c:spPr>
            <a:solidFill>
              <a:schemeClr val="accent3"/>
            </a:solidFill>
            <a:ln>
              <a:noFill/>
            </a:ln>
            <a:effectLst/>
          </c:spPr>
          <c:invertIfNegative val="0"/>
          <c:cat>
            <c:strRef>
              <c:f>Sheet1!$AE$64:$AE$69</c:f>
              <c:strCache>
                <c:ptCount val="5"/>
                <c:pt idx="0">
                  <c:v>1</c:v>
                </c:pt>
                <c:pt idx="1">
                  <c:v>2</c:v>
                </c:pt>
                <c:pt idx="2">
                  <c:v>3</c:v>
                </c:pt>
                <c:pt idx="3">
                  <c:v>4</c:v>
                </c:pt>
                <c:pt idx="4">
                  <c:v>5</c:v>
                </c:pt>
              </c:strCache>
            </c:strRef>
          </c:cat>
          <c:val>
            <c:numRef>
              <c:f>Sheet1!$AK$64:$AK$69</c:f>
              <c:numCache>
                <c:formatCode>General</c:formatCode>
                <c:ptCount val="5"/>
                <c:pt idx="0">
                  <c:v>565</c:v>
                </c:pt>
                <c:pt idx="1">
                  <c:v>297</c:v>
                </c:pt>
                <c:pt idx="2">
                  <c:v>67</c:v>
                </c:pt>
                <c:pt idx="3">
                  <c:v>29</c:v>
                </c:pt>
                <c:pt idx="4">
                  <c:v>8</c:v>
                </c:pt>
              </c:numCache>
            </c:numRef>
          </c:val>
        </c:ser>
        <c:ser>
          <c:idx val="6"/>
          <c:order val="6"/>
          <c:tx>
            <c:strRef>
              <c:f>Sheet1!$AL$62:$AL$63</c:f>
              <c:strCache>
                <c:ptCount val="1"/>
                <c:pt idx="0">
                  <c:v>1001-1500</c:v>
                </c:pt>
              </c:strCache>
            </c:strRef>
          </c:tx>
          <c:spPr>
            <a:solidFill>
              <a:schemeClr val="accent3">
                <a:shade val="88000"/>
              </a:schemeClr>
            </a:solidFill>
            <a:ln>
              <a:noFill/>
            </a:ln>
            <a:effectLst/>
          </c:spPr>
          <c:invertIfNegative val="0"/>
          <c:cat>
            <c:strRef>
              <c:f>Sheet1!$AE$64:$AE$69</c:f>
              <c:strCache>
                <c:ptCount val="5"/>
                <c:pt idx="0">
                  <c:v>1</c:v>
                </c:pt>
                <c:pt idx="1">
                  <c:v>2</c:v>
                </c:pt>
                <c:pt idx="2">
                  <c:v>3</c:v>
                </c:pt>
                <c:pt idx="3">
                  <c:v>4</c:v>
                </c:pt>
                <c:pt idx="4">
                  <c:v>5</c:v>
                </c:pt>
              </c:strCache>
            </c:strRef>
          </c:cat>
          <c:val>
            <c:numRef>
              <c:f>Sheet1!$AL$64:$AL$69</c:f>
              <c:numCache>
                <c:formatCode>General</c:formatCode>
                <c:ptCount val="5"/>
                <c:pt idx="0">
                  <c:v>374</c:v>
                </c:pt>
                <c:pt idx="1">
                  <c:v>267</c:v>
                </c:pt>
                <c:pt idx="2">
                  <c:v>76</c:v>
                </c:pt>
                <c:pt idx="3">
                  <c:v>29</c:v>
                </c:pt>
                <c:pt idx="4">
                  <c:v>12</c:v>
                </c:pt>
              </c:numCache>
            </c:numRef>
          </c:val>
        </c:ser>
        <c:ser>
          <c:idx val="7"/>
          <c:order val="7"/>
          <c:tx>
            <c:strRef>
              <c:f>Sheet1!$AM$62:$AM$63</c:f>
              <c:strCache>
                <c:ptCount val="1"/>
                <c:pt idx="0">
                  <c:v>1501-2000</c:v>
                </c:pt>
              </c:strCache>
            </c:strRef>
          </c:tx>
          <c:spPr>
            <a:solidFill>
              <a:schemeClr val="accent3">
                <a:shade val="76000"/>
              </a:schemeClr>
            </a:solidFill>
            <a:ln>
              <a:noFill/>
            </a:ln>
            <a:effectLst/>
          </c:spPr>
          <c:invertIfNegative val="0"/>
          <c:cat>
            <c:strRef>
              <c:f>Sheet1!$AE$64:$AE$69</c:f>
              <c:strCache>
                <c:ptCount val="5"/>
                <c:pt idx="0">
                  <c:v>1</c:v>
                </c:pt>
                <c:pt idx="1">
                  <c:v>2</c:v>
                </c:pt>
                <c:pt idx="2">
                  <c:v>3</c:v>
                </c:pt>
                <c:pt idx="3">
                  <c:v>4</c:v>
                </c:pt>
                <c:pt idx="4">
                  <c:v>5</c:v>
                </c:pt>
              </c:strCache>
            </c:strRef>
          </c:cat>
          <c:val>
            <c:numRef>
              <c:f>Sheet1!$AM$64:$AM$69</c:f>
              <c:numCache>
                <c:formatCode>General</c:formatCode>
                <c:ptCount val="5"/>
                <c:pt idx="0">
                  <c:v>188</c:v>
                </c:pt>
                <c:pt idx="1">
                  <c:v>176</c:v>
                </c:pt>
                <c:pt idx="2">
                  <c:v>53</c:v>
                </c:pt>
                <c:pt idx="3">
                  <c:v>21</c:v>
                </c:pt>
                <c:pt idx="4">
                  <c:v>15</c:v>
                </c:pt>
              </c:numCache>
            </c:numRef>
          </c:val>
        </c:ser>
        <c:ser>
          <c:idx val="8"/>
          <c:order val="8"/>
          <c:tx>
            <c:strRef>
              <c:f>Sheet1!$AN$62:$AN$63</c:f>
              <c:strCache>
                <c:ptCount val="1"/>
                <c:pt idx="0">
                  <c:v>2001-3000</c:v>
                </c:pt>
              </c:strCache>
            </c:strRef>
          </c:tx>
          <c:spPr>
            <a:solidFill>
              <a:schemeClr val="accent3">
                <a:shade val="65000"/>
              </a:schemeClr>
            </a:solidFill>
            <a:ln>
              <a:noFill/>
            </a:ln>
            <a:effectLst/>
          </c:spPr>
          <c:invertIfNegative val="0"/>
          <c:cat>
            <c:strRef>
              <c:f>Sheet1!$AE$64:$AE$69</c:f>
              <c:strCache>
                <c:ptCount val="5"/>
                <c:pt idx="0">
                  <c:v>1</c:v>
                </c:pt>
                <c:pt idx="1">
                  <c:v>2</c:v>
                </c:pt>
                <c:pt idx="2">
                  <c:v>3</c:v>
                </c:pt>
                <c:pt idx="3">
                  <c:v>4</c:v>
                </c:pt>
                <c:pt idx="4">
                  <c:v>5</c:v>
                </c:pt>
              </c:strCache>
            </c:strRef>
          </c:cat>
          <c:val>
            <c:numRef>
              <c:f>Sheet1!$AN$64:$AN$69</c:f>
              <c:numCache>
                <c:formatCode>General</c:formatCode>
                <c:ptCount val="5"/>
                <c:pt idx="0">
                  <c:v>91</c:v>
                </c:pt>
                <c:pt idx="1">
                  <c:v>107</c:v>
                </c:pt>
                <c:pt idx="2">
                  <c:v>40</c:v>
                </c:pt>
                <c:pt idx="3">
                  <c:v>27</c:v>
                </c:pt>
                <c:pt idx="4">
                  <c:v>19</c:v>
                </c:pt>
              </c:numCache>
            </c:numRef>
          </c:val>
        </c:ser>
        <c:ser>
          <c:idx val="9"/>
          <c:order val="9"/>
          <c:tx>
            <c:strRef>
              <c:f>Sheet1!$AO$62:$AO$63</c:f>
              <c:strCache>
                <c:ptCount val="1"/>
                <c:pt idx="0">
                  <c:v>3001-5000</c:v>
                </c:pt>
              </c:strCache>
            </c:strRef>
          </c:tx>
          <c:spPr>
            <a:solidFill>
              <a:schemeClr val="accent3">
                <a:shade val="53000"/>
              </a:schemeClr>
            </a:solidFill>
            <a:ln>
              <a:noFill/>
            </a:ln>
            <a:effectLst/>
          </c:spPr>
          <c:invertIfNegative val="0"/>
          <c:cat>
            <c:strRef>
              <c:f>Sheet1!$AE$64:$AE$69</c:f>
              <c:strCache>
                <c:ptCount val="5"/>
                <c:pt idx="0">
                  <c:v>1</c:v>
                </c:pt>
                <c:pt idx="1">
                  <c:v>2</c:v>
                </c:pt>
                <c:pt idx="2">
                  <c:v>3</c:v>
                </c:pt>
                <c:pt idx="3">
                  <c:v>4</c:v>
                </c:pt>
                <c:pt idx="4">
                  <c:v>5</c:v>
                </c:pt>
              </c:strCache>
            </c:strRef>
          </c:cat>
          <c:val>
            <c:numRef>
              <c:f>Sheet1!$AO$64:$AO$69</c:f>
              <c:numCache>
                <c:formatCode>General</c:formatCode>
                <c:ptCount val="5"/>
                <c:pt idx="0">
                  <c:v>28</c:v>
                </c:pt>
                <c:pt idx="1">
                  <c:v>42</c:v>
                </c:pt>
                <c:pt idx="2">
                  <c:v>20</c:v>
                </c:pt>
                <c:pt idx="3">
                  <c:v>8</c:v>
                </c:pt>
                <c:pt idx="4">
                  <c:v>7</c:v>
                </c:pt>
              </c:numCache>
            </c:numRef>
          </c:val>
        </c:ser>
        <c:ser>
          <c:idx val="10"/>
          <c:order val="10"/>
          <c:tx>
            <c:strRef>
              <c:f>Sheet1!$AP$62:$AP$63</c:f>
              <c:strCache>
                <c:ptCount val="1"/>
                <c:pt idx="0">
                  <c:v>5000+</c:v>
                </c:pt>
              </c:strCache>
            </c:strRef>
          </c:tx>
          <c:spPr>
            <a:solidFill>
              <a:schemeClr val="accent3">
                <a:shade val="41000"/>
              </a:schemeClr>
            </a:solidFill>
            <a:ln>
              <a:noFill/>
            </a:ln>
            <a:effectLst/>
          </c:spPr>
          <c:invertIfNegative val="0"/>
          <c:cat>
            <c:strRef>
              <c:f>Sheet1!$AE$64:$AE$69</c:f>
              <c:strCache>
                <c:ptCount val="5"/>
                <c:pt idx="0">
                  <c:v>1</c:v>
                </c:pt>
                <c:pt idx="1">
                  <c:v>2</c:v>
                </c:pt>
                <c:pt idx="2">
                  <c:v>3</c:v>
                </c:pt>
                <c:pt idx="3">
                  <c:v>4</c:v>
                </c:pt>
                <c:pt idx="4">
                  <c:v>5</c:v>
                </c:pt>
              </c:strCache>
            </c:strRef>
          </c:cat>
          <c:val>
            <c:numRef>
              <c:f>Sheet1!$AP$64:$AP$69</c:f>
              <c:numCache>
                <c:formatCode>General</c:formatCode>
                <c:ptCount val="5"/>
                <c:pt idx="0">
                  <c:v>21</c:v>
                </c:pt>
                <c:pt idx="1">
                  <c:v>28</c:v>
                </c:pt>
                <c:pt idx="2">
                  <c:v>10</c:v>
                </c:pt>
                <c:pt idx="3">
                  <c:v>5</c:v>
                </c:pt>
                <c:pt idx="4">
                  <c:v>5</c:v>
                </c:pt>
              </c:numCache>
            </c:numRef>
          </c:val>
        </c:ser>
        <c:dLbls>
          <c:showLegendKey val="0"/>
          <c:showVal val="0"/>
          <c:showCatName val="0"/>
          <c:showSerName val="0"/>
          <c:showPercent val="0"/>
          <c:showBubbleSize val="0"/>
        </c:dLbls>
        <c:gapWidth val="50"/>
        <c:overlap val="100"/>
        <c:axId val="522645408"/>
        <c:axId val="522643448"/>
      </c:barChart>
      <c:catAx>
        <c:axId val="522645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643448"/>
        <c:crosses val="autoZero"/>
        <c:auto val="1"/>
        <c:lblAlgn val="ctr"/>
        <c:lblOffset val="100"/>
        <c:noMultiLvlLbl val="0"/>
      </c:catAx>
      <c:valAx>
        <c:axId val="5226434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645408"/>
        <c:crosses val="autoZero"/>
        <c:crossBetween val="between"/>
      </c:valAx>
      <c:spPr>
        <a:noFill/>
        <a:ln>
          <a:noFill/>
        </a:ln>
        <a:effectLst/>
      </c:spPr>
    </c:plotArea>
    <c:legend>
      <c:legendPos val="r"/>
      <c:layout>
        <c:manualLayout>
          <c:xMode val="edge"/>
          <c:yMode val="edge"/>
          <c:x val="0.86425890159956409"/>
          <c:y val="5.0241564115862759E-2"/>
          <c:w val="0.13104021195463775"/>
          <c:h val="0.90872675490031829"/>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[Gaza WASH Assessment_raw data_GVC_edited.xlsx]Sheet1!PivotTable81</c:name>
    <c:fmtId val="-1"/>
  </c:pivotSource>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a:t>Coping</a:t>
            </a:r>
            <a:r>
              <a:rPr lang="en-US" baseline="0"/>
              <a:t> strategies by income quintile</a:t>
            </a:r>
            <a:endParaRPr lang="en-US"/>
          </a:p>
        </c:rich>
      </c:tx>
      <c:layout>
        <c:manualLayout>
          <c:xMode val="edge"/>
          <c:yMode val="edge"/>
          <c:x val="0.10487489063867016"/>
          <c:y val="2.3481068388611682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s>
    <c:plotArea>
      <c:layout>
        <c:manualLayout>
          <c:layoutTarget val="inner"/>
          <c:xMode val="edge"/>
          <c:yMode val="edge"/>
          <c:x val="5.3914260717410324E-2"/>
          <c:y val="0.16689169357205752"/>
          <c:w val="0.57319313210848644"/>
          <c:h val="0.69692827874061969"/>
        </c:manualLayout>
      </c:layout>
      <c:barChart>
        <c:barDir val="bar"/>
        <c:grouping val="percentStacked"/>
        <c:varyColors val="0"/>
        <c:ser>
          <c:idx val="0"/>
          <c:order val="0"/>
          <c:tx>
            <c:strRef>
              <c:f>Sheet1!$B$26:$B$27</c:f>
              <c:strCache>
                <c:ptCount val="1"/>
                <c:pt idx="0">
                  <c:v>Reduce consumption</c:v>
                </c:pt>
              </c:strCache>
            </c:strRef>
          </c:tx>
          <c:spPr>
            <a:solidFill>
              <a:schemeClr val="accent1"/>
            </a:solidFill>
            <a:ln>
              <a:noFill/>
            </a:ln>
            <a:effectLst/>
          </c:spPr>
          <c:invertIfNegative val="0"/>
          <c:cat>
            <c:strRef>
              <c:f>Sheet1!$A$28:$A$33</c:f>
              <c:strCache>
                <c:ptCount val="5"/>
                <c:pt idx="0">
                  <c:v>1</c:v>
                </c:pt>
                <c:pt idx="1">
                  <c:v>2</c:v>
                </c:pt>
                <c:pt idx="2">
                  <c:v>3</c:v>
                </c:pt>
                <c:pt idx="3">
                  <c:v>4</c:v>
                </c:pt>
                <c:pt idx="4">
                  <c:v>5</c:v>
                </c:pt>
              </c:strCache>
            </c:strRef>
          </c:cat>
          <c:val>
            <c:numRef>
              <c:f>Sheet1!$B$28:$B$33</c:f>
              <c:numCache>
                <c:formatCode>0.00%</c:formatCode>
                <c:ptCount val="5"/>
                <c:pt idx="0">
                  <c:v>0.42980561555075592</c:v>
                </c:pt>
                <c:pt idx="1">
                  <c:v>0.46909090909090911</c:v>
                </c:pt>
                <c:pt idx="2">
                  <c:v>0.44123314065510599</c:v>
                </c:pt>
                <c:pt idx="3">
                  <c:v>0.42346208869814023</c:v>
                </c:pt>
                <c:pt idx="4">
                  <c:v>0.41767068273092367</c:v>
                </c:pt>
              </c:numCache>
            </c:numRef>
          </c:val>
        </c:ser>
        <c:ser>
          <c:idx val="1"/>
          <c:order val="1"/>
          <c:tx>
            <c:strRef>
              <c:f>Sheet1!$C$26:$C$27</c:f>
              <c:strCache>
                <c:ptCount val="1"/>
                <c:pt idx="0">
                  <c:v>Purchase domestic water tanks</c:v>
                </c:pt>
              </c:strCache>
            </c:strRef>
          </c:tx>
          <c:spPr>
            <a:solidFill>
              <a:schemeClr val="accent2"/>
            </a:solidFill>
            <a:ln>
              <a:noFill/>
            </a:ln>
            <a:effectLst/>
          </c:spPr>
          <c:invertIfNegative val="0"/>
          <c:cat>
            <c:strRef>
              <c:f>Sheet1!$A$28:$A$33</c:f>
              <c:strCache>
                <c:ptCount val="5"/>
                <c:pt idx="0">
                  <c:v>1</c:v>
                </c:pt>
                <c:pt idx="1">
                  <c:v>2</c:v>
                </c:pt>
                <c:pt idx="2">
                  <c:v>3</c:v>
                </c:pt>
                <c:pt idx="3">
                  <c:v>4</c:v>
                </c:pt>
                <c:pt idx="4">
                  <c:v>5</c:v>
                </c:pt>
              </c:strCache>
            </c:strRef>
          </c:cat>
          <c:val>
            <c:numRef>
              <c:f>Sheet1!$C$28:$C$33</c:f>
              <c:numCache>
                <c:formatCode>0.00%</c:formatCode>
                <c:ptCount val="5"/>
                <c:pt idx="0">
                  <c:v>0.12203023758099352</c:v>
                </c:pt>
                <c:pt idx="1">
                  <c:v>0.14545454545454545</c:v>
                </c:pt>
                <c:pt idx="2">
                  <c:v>0.19267822736030829</c:v>
                </c:pt>
                <c:pt idx="3">
                  <c:v>0.25035765379113017</c:v>
                </c:pt>
                <c:pt idx="4">
                  <c:v>0.24096385542168675</c:v>
                </c:pt>
              </c:numCache>
            </c:numRef>
          </c:val>
        </c:ser>
        <c:ser>
          <c:idx val="2"/>
          <c:order val="2"/>
          <c:tx>
            <c:strRef>
              <c:f>Sheet1!$D$26:$D$27</c:f>
              <c:strCache>
                <c:ptCount val="1"/>
                <c:pt idx="0">
                  <c:v>Use small storage containers</c:v>
                </c:pt>
              </c:strCache>
            </c:strRef>
          </c:tx>
          <c:spPr>
            <a:solidFill>
              <a:schemeClr val="accent3"/>
            </a:solidFill>
            <a:ln>
              <a:noFill/>
            </a:ln>
            <a:effectLst/>
          </c:spPr>
          <c:invertIfNegative val="0"/>
          <c:cat>
            <c:strRef>
              <c:f>Sheet1!$A$28:$A$33</c:f>
              <c:strCache>
                <c:ptCount val="5"/>
                <c:pt idx="0">
                  <c:v>1</c:v>
                </c:pt>
                <c:pt idx="1">
                  <c:v>2</c:v>
                </c:pt>
                <c:pt idx="2">
                  <c:v>3</c:v>
                </c:pt>
                <c:pt idx="3">
                  <c:v>4</c:v>
                </c:pt>
                <c:pt idx="4">
                  <c:v>5</c:v>
                </c:pt>
              </c:strCache>
            </c:strRef>
          </c:cat>
          <c:val>
            <c:numRef>
              <c:f>Sheet1!$D$28:$D$33</c:f>
              <c:numCache>
                <c:formatCode>0.00%</c:formatCode>
                <c:ptCount val="5"/>
                <c:pt idx="0">
                  <c:v>0.15874730021598271</c:v>
                </c:pt>
                <c:pt idx="1">
                  <c:v>9.4545454545454544E-2</c:v>
                </c:pt>
                <c:pt idx="2">
                  <c:v>0.16763005780346821</c:v>
                </c:pt>
                <c:pt idx="3">
                  <c:v>0.11301859799713877</c:v>
                </c:pt>
                <c:pt idx="4">
                  <c:v>8.1659973226238289E-2</c:v>
                </c:pt>
              </c:numCache>
            </c:numRef>
          </c:val>
        </c:ser>
        <c:ser>
          <c:idx val="3"/>
          <c:order val="3"/>
          <c:tx>
            <c:strRef>
              <c:f>Sheet1!$E$26:$E$27</c:f>
              <c:strCache>
                <c:ptCount val="1"/>
                <c:pt idx="0">
                  <c:v>Purchase drinking for domestic</c:v>
                </c:pt>
              </c:strCache>
            </c:strRef>
          </c:tx>
          <c:spPr>
            <a:solidFill>
              <a:schemeClr val="accent4"/>
            </a:solidFill>
            <a:ln>
              <a:noFill/>
            </a:ln>
            <a:effectLst/>
          </c:spPr>
          <c:invertIfNegative val="0"/>
          <c:cat>
            <c:strRef>
              <c:f>Sheet1!$A$28:$A$33</c:f>
              <c:strCache>
                <c:ptCount val="5"/>
                <c:pt idx="0">
                  <c:v>1</c:v>
                </c:pt>
                <c:pt idx="1">
                  <c:v>2</c:v>
                </c:pt>
                <c:pt idx="2">
                  <c:v>3</c:v>
                </c:pt>
                <c:pt idx="3">
                  <c:v>4</c:v>
                </c:pt>
                <c:pt idx="4">
                  <c:v>5</c:v>
                </c:pt>
              </c:strCache>
            </c:strRef>
          </c:cat>
          <c:val>
            <c:numRef>
              <c:f>Sheet1!$E$28:$E$33</c:f>
              <c:numCache>
                <c:formatCode>0.00%</c:formatCode>
                <c:ptCount val="5"/>
                <c:pt idx="0">
                  <c:v>8.3153347732181429E-2</c:v>
                </c:pt>
                <c:pt idx="1">
                  <c:v>0.13454545454545455</c:v>
                </c:pt>
                <c:pt idx="2">
                  <c:v>7.3217726396917149E-2</c:v>
                </c:pt>
                <c:pt idx="3">
                  <c:v>7.5822603719599424E-2</c:v>
                </c:pt>
                <c:pt idx="4">
                  <c:v>0.12449799196787148</c:v>
                </c:pt>
              </c:numCache>
            </c:numRef>
          </c:val>
        </c:ser>
        <c:ser>
          <c:idx val="4"/>
          <c:order val="4"/>
          <c:tx>
            <c:strRef>
              <c:f>Sheet1!$F$26:$F$27</c:f>
              <c:strCache>
                <c:ptCount val="1"/>
                <c:pt idx="0">
                  <c:v>Nothing</c:v>
                </c:pt>
              </c:strCache>
            </c:strRef>
          </c:tx>
          <c:spPr>
            <a:solidFill>
              <a:schemeClr val="accent5"/>
            </a:solidFill>
            <a:ln>
              <a:noFill/>
            </a:ln>
            <a:effectLst/>
          </c:spPr>
          <c:invertIfNegative val="0"/>
          <c:cat>
            <c:strRef>
              <c:f>Sheet1!$A$28:$A$33</c:f>
              <c:strCache>
                <c:ptCount val="5"/>
                <c:pt idx="0">
                  <c:v>1</c:v>
                </c:pt>
                <c:pt idx="1">
                  <c:v>2</c:v>
                </c:pt>
                <c:pt idx="2">
                  <c:v>3</c:v>
                </c:pt>
                <c:pt idx="3">
                  <c:v>4</c:v>
                </c:pt>
                <c:pt idx="4">
                  <c:v>5</c:v>
                </c:pt>
              </c:strCache>
            </c:strRef>
          </c:cat>
          <c:val>
            <c:numRef>
              <c:f>Sheet1!$F$28:$F$33</c:f>
              <c:numCache>
                <c:formatCode>0.00%</c:formatCode>
                <c:ptCount val="5"/>
                <c:pt idx="0">
                  <c:v>0.12958963282937366</c:v>
                </c:pt>
                <c:pt idx="1">
                  <c:v>8.3636363636363634E-2</c:v>
                </c:pt>
                <c:pt idx="2">
                  <c:v>5.7803468208092484E-2</c:v>
                </c:pt>
                <c:pt idx="3">
                  <c:v>7.5822603719599424E-2</c:v>
                </c:pt>
                <c:pt idx="4">
                  <c:v>6.1579651941097727E-2</c:v>
                </c:pt>
              </c:numCache>
            </c:numRef>
          </c:val>
        </c:ser>
        <c:ser>
          <c:idx val="5"/>
          <c:order val="5"/>
          <c:tx>
            <c:strRef>
              <c:f>Sheet1!$G$26:$G$27</c:f>
              <c:strCache>
                <c:ptCount val="1"/>
                <c:pt idx="0">
                  <c:v>Repair HH pipes</c:v>
                </c:pt>
              </c:strCache>
            </c:strRef>
          </c:tx>
          <c:spPr>
            <a:solidFill>
              <a:schemeClr val="accent6"/>
            </a:solidFill>
            <a:ln>
              <a:noFill/>
            </a:ln>
            <a:effectLst/>
          </c:spPr>
          <c:invertIfNegative val="0"/>
          <c:cat>
            <c:strRef>
              <c:f>Sheet1!$A$28:$A$33</c:f>
              <c:strCache>
                <c:ptCount val="5"/>
                <c:pt idx="0">
                  <c:v>1</c:v>
                </c:pt>
                <c:pt idx="1">
                  <c:v>2</c:v>
                </c:pt>
                <c:pt idx="2">
                  <c:v>3</c:v>
                </c:pt>
                <c:pt idx="3">
                  <c:v>4</c:v>
                </c:pt>
                <c:pt idx="4">
                  <c:v>5</c:v>
                </c:pt>
              </c:strCache>
            </c:strRef>
          </c:cat>
          <c:val>
            <c:numRef>
              <c:f>Sheet1!$G$28:$G$33</c:f>
              <c:numCache>
                <c:formatCode>0.00%</c:formatCode>
                <c:ptCount val="5"/>
                <c:pt idx="0">
                  <c:v>1.511879049676026E-2</c:v>
                </c:pt>
                <c:pt idx="1">
                  <c:v>1.8181818181818181E-2</c:v>
                </c:pt>
                <c:pt idx="2">
                  <c:v>2.119460500963391E-2</c:v>
                </c:pt>
                <c:pt idx="3">
                  <c:v>1.0014306151645207E-2</c:v>
                </c:pt>
                <c:pt idx="4">
                  <c:v>2.8112449799196786E-2</c:v>
                </c:pt>
              </c:numCache>
            </c:numRef>
          </c:val>
        </c:ser>
        <c:ser>
          <c:idx val="6"/>
          <c:order val="6"/>
          <c:tx>
            <c:strRef>
              <c:f>Sheet1!$H$26:$H$27</c:f>
              <c:strCache>
                <c:ptCount val="1"/>
                <c:pt idx="0">
                  <c:v>Borrow from neighbour</c:v>
                </c:pt>
              </c:strCache>
            </c:strRef>
          </c:tx>
          <c:spPr>
            <a:solidFill>
              <a:schemeClr val="accent1">
                <a:lumMod val="60000"/>
              </a:schemeClr>
            </a:solidFill>
            <a:ln>
              <a:noFill/>
            </a:ln>
            <a:effectLst/>
          </c:spPr>
          <c:invertIfNegative val="0"/>
          <c:cat>
            <c:strRef>
              <c:f>Sheet1!$A$28:$A$33</c:f>
              <c:strCache>
                <c:ptCount val="5"/>
                <c:pt idx="0">
                  <c:v>1</c:v>
                </c:pt>
                <c:pt idx="1">
                  <c:v>2</c:v>
                </c:pt>
                <c:pt idx="2">
                  <c:v>3</c:v>
                </c:pt>
                <c:pt idx="3">
                  <c:v>4</c:v>
                </c:pt>
                <c:pt idx="4">
                  <c:v>5</c:v>
                </c:pt>
              </c:strCache>
            </c:strRef>
          </c:cat>
          <c:val>
            <c:numRef>
              <c:f>Sheet1!$H$28:$H$33</c:f>
              <c:numCache>
                <c:formatCode>0.00%</c:formatCode>
                <c:ptCount val="5"/>
                <c:pt idx="0">
                  <c:v>3.0237580993520519E-2</c:v>
                </c:pt>
                <c:pt idx="1">
                  <c:v>7.2727272727272727E-3</c:v>
                </c:pt>
                <c:pt idx="2">
                  <c:v>1.1560693641618497E-2</c:v>
                </c:pt>
                <c:pt idx="3">
                  <c:v>1.5736766809728183E-2</c:v>
                </c:pt>
                <c:pt idx="4">
                  <c:v>4.0160642570281121E-3</c:v>
                </c:pt>
              </c:numCache>
            </c:numRef>
          </c:val>
        </c:ser>
        <c:ser>
          <c:idx val="7"/>
          <c:order val="7"/>
          <c:tx>
            <c:strRef>
              <c:f>Sheet1!$I$26:$I$27</c:f>
              <c:strCache>
                <c:ptCount val="1"/>
                <c:pt idx="0">
                  <c:v>Private well</c:v>
                </c:pt>
              </c:strCache>
            </c:strRef>
          </c:tx>
          <c:spPr>
            <a:solidFill>
              <a:schemeClr val="accent2">
                <a:lumMod val="60000"/>
              </a:schemeClr>
            </a:solidFill>
            <a:ln>
              <a:noFill/>
            </a:ln>
            <a:effectLst/>
          </c:spPr>
          <c:invertIfNegative val="0"/>
          <c:cat>
            <c:strRef>
              <c:f>Sheet1!$A$28:$A$33</c:f>
              <c:strCache>
                <c:ptCount val="5"/>
                <c:pt idx="0">
                  <c:v>1</c:v>
                </c:pt>
                <c:pt idx="1">
                  <c:v>2</c:v>
                </c:pt>
                <c:pt idx="2">
                  <c:v>3</c:v>
                </c:pt>
                <c:pt idx="3">
                  <c:v>4</c:v>
                </c:pt>
                <c:pt idx="4">
                  <c:v>5</c:v>
                </c:pt>
              </c:strCache>
            </c:strRef>
          </c:cat>
          <c:val>
            <c:numRef>
              <c:f>Sheet1!$I$28:$I$33</c:f>
              <c:numCache>
                <c:formatCode>0.00%</c:formatCode>
                <c:ptCount val="5"/>
                <c:pt idx="0">
                  <c:v>8.6393088552915772E-3</c:v>
                </c:pt>
                <c:pt idx="1">
                  <c:v>2.181818181818182E-2</c:v>
                </c:pt>
                <c:pt idx="2">
                  <c:v>9.6339113680154135E-3</c:v>
                </c:pt>
                <c:pt idx="3">
                  <c:v>1.2875536480686695E-2</c:v>
                </c:pt>
                <c:pt idx="4">
                  <c:v>2.0080321285140562E-2</c:v>
                </c:pt>
              </c:numCache>
            </c:numRef>
          </c:val>
        </c:ser>
        <c:ser>
          <c:idx val="8"/>
          <c:order val="8"/>
          <c:tx>
            <c:strRef>
              <c:f>Sheet1!$J$26:$J$27</c:f>
              <c:strCache>
                <c:ptCount val="1"/>
                <c:pt idx="0">
                  <c:v>Reuse for agriculture</c:v>
                </c:pt>
              </c:strCache>
            </c:strRef>
          </c:tx>
          <c:spPr>
            <a:solidFill>
              <a:schemeClr val="accent3">
                <a:lumMod val="60000"/>
              </a:schemeClr>
            </a:solidFill>
            <a:ln>
              <a:noFill/>
            </a:ln>
            <a:effectLst/>
          </c:spPr>
          <c:invertIfNegative val="0"/>
          <c:cat>
            <c:strRef>
              <c:f>Sheet1!$A$28:$A$33</c:f>
              <c:strCache>
                <c:ptCount val="5"/>
                <c:pt idx="0">
                  <c:v>1</c:v>
                </c:pt>
                <c:pt idx="1">
                  <c:v>2</c:v>
                </c:pt>
                <c:pt idx="2">
                  <c:v>3</c:v>
                </c:pt>
                <c:pt idx="3">
                  <c:v>4</c:v>
                </c:pt>
                <c:pt idx="4">
                  <c:v>5</c:v>
                </c:pt>
              </c:strCache>
            </c:strRef>
          </c:cat>
          <c:val>
            <c:numRef>
              <c:f>Sheet1!$J$28:$J$33</c:f>
              <c:numCache>
                <c:formatCode>0.00%</c:formatCode>
                <c:ptCount val="5"/>
                <c:pt idx="0">
                  <c:v>1.079913606911447E-2</c:v>
                </c:pt>
                <c:pt idx="1">
                  <c:v>7.2727272727272727E-3</c:v>
                </c:pt>
                <c:pt idx="2">
                  <c:v>9.6339113680154135E-3</c:v>
                </c:pt>
                <c:pt idx="3">
                  <c:v>4.2918454935622317E-3</c:v>
                </c:pt>
                <c:pt idx="4">
                  <c:v>8.0321285140562242E-3</c:v>
                </c:pt>
              </c:numCache>
            </c:numRef>
          </c:val>
        </c:ser>
        <c:ser>
          <c:idx val="9"/>
          <c:order val="9"/>
          <c:tx>
            <c:strRef>
              <c:f>Sheet1!$K$26:$K$27</c:f>
              <c:strCache>
                <c:ptCount val="1"/>
                <c:pt idx="0">
                  <c:v>Reuse for cleaning</c:v>
                </c:pt>
              </c:strCache>
            </c:strRef>
          </c:tx>
          <c:spPr>
            <a:solidFill>
              <a:schemeClr val="accent4">
                <a:lumMod val="60000"/>
              </a:schemeClr>
            </a:solidFill>
            <a:ln>
              <a:noFill/>
            </a:ln>
            <a:effectLst/>
          </c:spPr>
          <c:invertIfNegative val="0"/>
          <c:cat>
            <c:strRef>
              <c:f>Sheet1!$A$28:$A$33</c:f>
              <c:strCache>
                <c:ptCount val="5"/>
                <c:pt idx="0">
                  <c:v>1</c:v>
                </c:pt>
                <c:pt idx="1">
                  <c:v>2</c:v>
                </c:pt>
                <c:pt idx="2">
                  <c:v>3</c:v>
                </c:pt>
                <c:pt idx="3">
                  <c:v>4</c:v>
                </c:pt>
                <c:pt idx="4">
                  <c:v>5</c:v>
                </c:pt>
              </c:strCache>
            </c:strRef>
          </c:cat>
          <c:val>
            <c:numRef>
              <c:f>Sheet1!$K$28:$K$33</c:f>
              <c:numCache>
                <c:formatCode>0.00%</c:formatCode>
                <c:ptCount val="5"/>
                <c:pt idx="0">
                  <c:v>5.3995680345572351E-3</c:v>
                </c:pt>
                <c:pt idx="1">
                  <c:v>0</c:v>
                </c:pt>
                <c:pt idx="2">
                  <c:v>5.7803468208092483E-3</c:v>
                </c:pt>
                <c:pt idx="3">
                  <c:v>1.0014306151645207E-2</c:v>
                </c:pt>
                <c:pt idx="4">
                  <c:v>6.6934404283801874E-3</c:v>
                </c:pt>
              </c:numCache>
            </c:numRef>
          </c:val>
        </c:ser>
        <c:ser>
          <c:idx val="10"/>
          <c:order val="10"/>
          <c:tx>
            <c:strRef>
              <c:f>Sheet1!$L$26:$L$27</c:f>
              <c:strCache>
                <c:ptCount val="1"/>
                <c:pt idx="0">
                  <c:v>Use generator</c:v>
                </c:pt>
              </c:strCache>
            </c:strRef>
          </c:tx>
          <c:spPr>
            <a:solidFill>
              <a:schemeClr val="accent5">
                <a:lumMod val="60000"/>
              </a:schemeClr>
            </a:solidFill>
            <a:ln>
              <a:noFill/>
            </a:ln>
            <a:effectLst/>
          </c:spPr>
          <c:invertIfNegative val="0"/>
          <c:cat>
            <c:strRef>
              <c:f>Sheet1!$A$28:$A$33</c:f>
              <c:strCache>
                <c:ptCount val="5"/>
                <c:pt idx="0">
                  <c:v>1</c:v>
                </c:pt>
                <c:pt idx="1">
                  <c:v>2</c:v>
                </c:pt>
                <c:pt idx="2">
                  <c:v>3</c:v>
                </c:pt>
                <c:pt idx="3">
                  <c:v>4</c:v>
                </c:pt>
                <c:pt idx="4">
                  <c:v>5</c:v>
                </c:pt>
              </c:strCache>
            </c:strRef>
          </c:cat>
          <c:val>
            <c:numRef>
              <c:f>Sheet1!$L$28:$L$33</c:f>
              <c:numCache>
                <c:formatCode>0.00%</c:formatCode>
                <c:ptCount val="5"/>
                <c:pt idx="0">
                  <c:v>3.2397408207343412E-3</c:v>
                </c:pt>
                <c:pt idx="1">
                  <c:v>3.6363636363636364E-3</c:v>
                </c:pt>
                <c:pt idx="2">
                  <c:v>3.8535645472061657E-3</c:v>
                </c:pt>
                <c:pt idx="3">
                  <c:v>5.7224606580829757E-3</c:v>
                </c:pt>
                <c:pt idx="4">
                  <c:v>1.3386880856760374E-3</c:v>
                </c:pt>
              </c:numCache>
            </c:numRef>
          </c:val>
        </c:ser>
        <c:ser>
          <c:idx val="11"/>
          <c:order val="11"/>
          <c:tx>
            <c:strRef>
              <c:f>Sheet1!$M$26:$M$27</c:f>
              <c:strCache>
                <c:ptCount val="1"/>
                <c:pt idx="0">
                  <c:v>Use detergents</c:v>
                </c:pt>
              </c:strCache>
            </c:strRef>
          </c:tx>
          <c:spPr>
            <a:solidFill>
              <a:schemeClr val="accent6">
                <a:lumMod val="60000"/>
              </a:schemeClr>
            </a:solidFill>
            <a:ln>
              <a:noFill/>
            </a:ln>
            <a:effectLst/>
          </c:spPr>
          <c:invertIfNegative val="0"/>
          <c:cat>
            <c:strRef>
              <c:f>Sheet1!$A$28:$A$33</c:f>
              <c:strCache>
                <c:ptCount val="5"/>
                <c:pt idx="0">
                  <c:v>1</c:v>
                </c:pt>
                <c:pt idx="1">
                  <c:v>2</c:v>
                </c:pt>
                <c:pt idx="2">
                  <c:v>3</c:v>
                </c:pt>
                <c:pt idx="3">
                  <c:v>4</c:v>
                </c:pt>
                <c:pt idx="4">
                  <c:v>5</c:v>
                </c:pt>
              </c:strCache>
            </c:strRef>
          </c:cat>
          <c:val>
            <c:numRef>
              <c:f>Sheet1!$M$28:$M$33</c:f>
              <c:numCache>
                <c:formatCode>0.00%</c:formatCode>
                <c:ptCount val="5"/>
                <c:pt idx="0">
                  <c:v>3.2397408207343412E-3</c:v>
                </c:pt>
                <c:pt idx="1">
                  <c:v>1.090909090909091E-2</c:v>
                </c:pt>
                <c:pt idx="2">
                  <c:v>3.8535645472061657E-3</c:v>
                </c:pt>
                <c:pt idx="3">
                  <c:v>1.4306151645207439E-3</c:v>
                </c:pt>
                <c:pt idx="4">
                  <c:v>2.6773761713520749E-3</c:v>
                </c:pt>
              </c:numCache>
            </c:numRef>
          </c:val>
        </c:ser>
        <c:ser>
          <c:idx val="12"/>
          <c:order val="12"/>
          <c:tx>
            <c:strRef>
              <c:f>Sheet1!$N$26:$N$27</c:f>
              <c:strCache>
                <c:ptCount val="1"/>
                <c:pt idx="0">
                  <c:v>Collect rainwater</c:v>
                </c:pt>
              </c:strCache>
            </c:strRef>
          </c:tx>
          <c:spPr>
            <a:solidFill>
              <a:schemeClr val="accent1">
                <a:lumMod val="80000"/>
                <a:lumOff val="20000"/>
              </a:schemeClr>
            </a:solidFill>
            <a:ln>
              <a:noFill/>
            </a:ln>
            <a:effectLst/>
          </c:spPr>
          <c:invertIfNegative val="0"/>
          <c:cat>
            <c:strRef>
              <c:f>Sheet1!$A$28:$A$33</c:f>
              <c:strCache>
                <c:ptCount val="5"/>
                <c:pt idx="0">
                  <c:v>1</c:v>
                </c:pt>
                <c:pt idx="1">
                  <c:v>2</c:v>
                </c:pt>
                <c:pt idx="2">
                  <c:v>3</c:v>
                </c:pt>
                <c:pt idx="3">
                  <c:v>4</c:v>
                </c:pt>
                <c:pt idx="4">
                  <c:v>5</c:v>
                </c:pt>
              </c:strCache>
            </c:strRef>
          </c:cat>
          <c:val>
            <c:numRef>
              <c:f>Sheet1!$N$28:$N$33</c:f>
              <c:numCache>
                <c:formatCode>0.00%</c:formatCode>
                <c:ptCount val="5"/>
                <c:pt idx="0">
                  <c:v>0</c:v>
                </c:pt>
                <c:pt idx="1">
                  <c:v>3.6363636363636364E-3</c:v>
                </c:pt>
                <c:pt idx="2">
                  <c:v>1.9267822736030828E-3</c:v>
                </c:pt>
                <c:pt idx="3">
                  <c:v>0</c:v>
                </c:pt>
                <c:pt idx="4">
                  <c:v>0</c:v>
                </c:pt>
              </c:numCache>
            </c:numRef>
          </c:val>
        </c:ser>
        <c:ser>
          <c:idx val="13"/>
          <c:order val="13"/>
          <c:tx>
            <c:strRef>
              <c:f>Sheet1!$O$26:$O$27</c:f>
              <c:strCache>
                <c:ptCount val="1"/>
                <c:pt idx="0">
                  <c:v>HH desalination unit</c:v>
                </c:pt>
              </c:strCache>
            </c:strRef>
          </c:tx>
          <c:spPr>
            <a:solidFill>
              <a:schemeClr val="accent2">
                <a:lumMod val="80000"/>
                <a:lumOff val="20000"/>
              </a:schemeClr>
            </a:solidFill>
            <a:ln>
              <a:noFill/>
            </a:ln>
            <a:effectLst/>
          </c:spPr>
          <c:invertIfNegative val="0"/>
          <c:cat>
            <c:strRef>
              <c:f>Sheet1!$A$28:$A$33</c:f>
              <c:strCache>
                <c:ptCount val="5"/>
                <c:pt idx="0">
                  <c:v>1</c:v>
                </c:pt>
                <c:pt idx="1">
                  <c:v>2</c:v>
                </c:pt>
                <c:pt idx="2">
                  <c:v>3</c:v>
                </c:pt>
                <c:pt idx="3">
                  <c:v>4</c:v>
                </c:pt>
                <c:pt idx="4">
                  <c:v>5</c:v>
                </c:pt>
              </c:strCache>
            </c:strRef>
          </c:cat>
          <c:val>
            <c:numRef>
              <c:f>Sheet1!$O$28:$O$33</c:f>
              <c:numCache>
                <c:formatCode>0.00%</c:formatCode>
                <c:ptCount val="5"/>
                <c:pt idx="0">
                  <c:v>0</c:v>
                </c:pt>
                <c:pt idx="1">
                  <c:v>0</c:v>
                </c:pt>
                <c:pt idx="2">
                  <c:v>0</c:v>
                </c:pt>
                <c:pt idx="3">
                  <c:v>0</c:v>
                </c:pt>
                <c:pt idx="4">
                  <c:v>2.6773761713520749E-3</c:v>
                </c:pt>
              </c:numCache>
            </c:numRef>
          </c:val>
        </c:ser>
        <c:ser>
          <c:idx val="14"/>
          <c:order val="14"/>
          <c:tx>
            <c:strRef>
              <c:f>Sheet1!$P$26:$P$27</c:f>
              <c:strCache>
                <c:ptCount val="1"/>
                <c:pt idx="0">
                  <c:v>Cover storage tanks</c:v>
                </c:pt>
              </c:strCache>
            </c:strRef>
          </c:tx>
          <c:spPr>
            <a:solidFill>
              <a:schemeClr val="accent3">
                <a:lumMod val="80000"/>
                <a:lumOff val="20000"/>
              </a:schemeClr>
            </a:solidFill>
            <a:ln>
              <a:noFill/>
            </a:ln>
            <a:effectLst/>
          </c:spPr>
          <c:invertIfNegative val="0"/>
          <c:cat>
            <c:strRef>
              <c:f>Sheet1!$A$28:$A$33</c:f>
              <c:strCache>
                <c:ptCount val="5"/>
                <c:pt idx="0">
                  <c:v>1</c:v>
                </c:pt>
                <c:pt idx="1">
                  <c:v>2</c:v>
                </c:pt>
                <c:pt idx="2">
                  <c:v>3</c:v>
                </c:pt>
                <c:pt idx="3">
                  <c:v>4</c:v>
                </c:pt>
                <c:pt idx="4">
                  <c:v>5</c:v>
                </c:pt>
              </c:strCache>
            </c:strRef>
          </c:cat>
          <c:val>
            <c:numRef>
              <c:f>Sheet1!$P$28:$P$33</c:f>
              <c:numCache>
                <c:formatCode>0.00%</c:formatCode>
                <c:ptCount val="5"/>
                <c:pt idx="0">
                  <c:v>0</c:v>
                </c:pt>
                <c:pt idx="1">
                  <c:v>0</c:v>
                </c:pt>
                <c:pt idx="2">
                  <c:v>0</c:v>
                </c:pt>
                <c:pt idx="3">
                  <c:v>1.4306151645207439E-3</c:v>
                </c:pt>
                <c:pt idx="4">
                  <c:v>0</c:v>
                </c:pt>
              </c:numCache>
            </c:numRef>
          </c:val>
        </c:ser>
        <c:dLbls>
          <c:showLegendKey val="0"/>
          <c:showVal val="0"/>
          <c:showCatName val="0"/>
          <c:showSerName val="0"/>
          <c:showPercent val="0"/>
          <c:showBubbleSize val="0"/>
        </c:dLbls>
        <c:gapWidth val="50"/>
        <c:overlap val="100"/>
        <c:axId val="522642272"/>
        <c:axId val="522648544"/>
      </c:barChart>
      <c:catAx>
        <c:axId val="522642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648544"/>
        <c:crosses val="autoZero"/>
        <c:auto val="1"/>
        <c:lblAlgn val="ctr"/>
        <c:lblOffset val="100"/>
        <c:noMultiLvlLbl val="0"/>
      </c:catAx>
      <c:valAx>
        <c:axId val="5226485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642272"/>
        <c:crosses val="autoZero"/>
        <c:crossBetween val="between"/>
      </c:valAx>
      <c:spPr>
        <a:noFill/>
        <a:ln>
          <a:noFill/>
        </a:ln>
        <a:effectLst/>
      </c:spPr>
    </c:plotArea>
    <c:legend>
      <c:legendPos val="r"/>
      <c:layout>
        <c:manualLayout>
          <c:xMode val="edge"/>
          <c:yMode val="edge"/>
          <c:x val="0.63888888888888884"/>
          <c:y val="7.5402887524295735E-3"/>
          <c:w val="0.35833333333333334"/>
          <c:h val="0.9924596633757100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IDP</a:t>
            </a:r>
            <a:r>
              <a:rPr lang="en-US" sz="1100" baseline="0"/>
              <a:t> Sources of Drinking Water by Governorate</a:t>
            </a:r>
            <a:endParaRPr lang="en-US" sz="1100"/>
          </a:p>
        </c:rich>
      </c:tx>
      <c:layout>
        <c:manualLayout>
          <c:xMode val="edge"/>
          <c:yMode val="edge"/>
          <c:x val="0.16768426487672647"/>
          <c:y val="1.335559265442404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242820054548812"/>
          <c:y val="0.22209892782109161"/>
          <c:w val="0.52986310903810019"/>
          <c:h val="0.62298737108140445"/>
        </c:manualLayout>
      </c:layout>
      <c:barChart>
        <c:barDir val="bar"/>
        <c:grouping val="percentStacked"/>
        <c:varyColors val="0"/>
        <c:ser>
          <c:idx val="0"/>
          <c:order val="0"/>
          <c:tx>
            <c:strRef>
              <c:f>DrinkSource!$H$3</c:f>
              <c:strCache>
                <c:ptCount val="1"/>
                <c:pt idx="0">
                  <c:v>Tanker delivery (vendors)</c:v>
                </c:pt>
              </c:strCache>
            </c:strRef>
          </c:tx>
          <c:spPr>
            <a:solidFill>
              <a:srgbClr val="00B0F0"/>
            </a:solidFill>
            <a:ln>
              <a:noFill/>
            </a:ln>
            <a:effectLst/>
          </c:spPr>
          <c:invertIfNegative val="0"/>
          <c:cat>
            <c:strRef>
              <c:f>DrinkSource!$G$4:$G$9</c:f>
              <c:strCache>
                <c:ptCount val="6"/>
                <c:pt idx="0">
                  <c:v>Average</c:v>
                </c:pt>
                <c:pt idx="1">
                  <c:v>Rafah</c:v>
                </c:pt>
                <c:pt idx="2">
                  <c:v>Khan Yunis</c:v>
                </c:pt>
                <c:pt idx="3">
                  <c:v>Deir al-Balah</c:v>
                </c:pt>
                <c:pt idx="4">
                  <c:v>Gaza</c:v>
                </c:pt>
                <c:pt idx="5">
                  <c:v>North Gaza</c:v>
                </c:pt>
              </c:strCache>
            </c:strRef>
          </c:cat>
          <c:val>
            <c:numRef>
              <c:f>DrinkSource!$H$4:$H$9</c:f>
              <c:numCache>
                <c:formatCode>0.0%</c:formatCode>
                <c:ptCount val="6"/>
                <c:pt idx="0">
                  <c:v>0.75943595510326634</c:v>
                </c:pt>
                <c:pt idx="1">
                  <c:v>0.84362826933778523</c:v>
                </c:pt>
                <c:pt idx="2">
                  <c:v>0.65634674922600622</c:v>
                </c:pt>
                <c:pt idx="3">
                  <c:v>0.85533306089088679</c:v>
                </c:pt>
                <c:pt idx="4">
                  <c:v>0.74575148973736494</c:v>
                </c:pt>
                <c:pt idx="5">
                  <c:v>0.69612020632428795</c:v>
                </c:pt>
              </c:numCache>
            </c:numRef>
          </c:val>
        </c:ser>
        <c:ser>
          <c:idx val="1"/>
          <c:order val="1"/>
          <c:tx>
            <c:strRef>
              <c:f>DrinkSource!$I$3</c:f>
              <c:strCache>
                <c:ptCount val="1"/>
                <c:pt idx="0">
                  <c:v>Public filling point</c:v>
                </c:pt>
              </c:strCache>
            </c:strRef>
          </c:tx>
          <c:spPr>
            <a:solidFill>
              <a:srgbClr val="002060"/>
            </a:solidFill>
            <a:ln>
              <a:noFill/>
            </a:ln>
            <a:effectLst/>
          </c:spPr>
          <c:invertIfNegative val="0"/>
          <c:cat>
            <c:strRef>
              <c:f>DrinkSource!$G$4:$G$9</c:f>
              <c:strCache>
                <c:ptCount val="6"/>
                <c:pt idx="0">
                  <c:v>Average</c:v>
                </c:pt>
                <c:pt idx="1">
                  <c:v>Rafah</c:v>
                </c:pt>
                <c:pt idx="2">
                  <c:v>Khan Yunis</c:v>
                </c:pt>
                <c:pt idx="3">
                  <c:v>Deir al-Balah</c:v>
                </c:pt>
                <c:pt idx="4">
                  <c:v>Gaza</c:v>
                </c:pt>
                <c:pt idx="5">
                  <c:v>North Gaza</c:v>
                </c:pt>
              </c:strCache>
            </c:strRef>
          </c:cat>
          <c:val>
            <c:numRef>
              <c:f>DrinkSource!$I$4:$I$9</c:f>
              <c:numCache>
                <c:formatCode>0.0%</c:formatCode>
                <c:ptCount val="6"/>
                <c:pt idx="0">
                  <c:v>0.17875841489740729</c:v>
                </c:pt>
                <c:pt idx="1">
                  <c:v>0.13132999443516974</c:v>
                </c:pt>
                <c:pt idx="2">
                  <c:v>0.304437564499484</c:v>
                </c:pt>
                <c:pt idx="3">
                  <c:v>8.4184715978749491E-2</c:v>
                </c:pt>
                <c:pt idx="4">
                  <c:v>0.20900463473846834</c:v>
                </c:pt>
                <c:pt idx="5">
                  <c:v>0.1648351648351648</c:v>
                </c:pt>
              </c:numCache>
            </c:numRef>
          </c:val>
        </c:ser>
        <c:ser>
          <c:idx val="2"/>
          <c:order val="2"/>
          <c:tx>
            <c:strRef>
              <c:f>DrinkSource!$J$3</c:f>
              <c:strCache>
                <c:ptCount val="1"/>
                <c:pt idx="0">
                  <c:v>Municipal Network </c:v>
                </c:pt>
              </c:strCache>
            </c:strRef>
          </c:tx>
          <c:spPr>
            <a:solidFill>
              <a:srgbClr val="0070C0"/>
            </a:solidFill>
            <a:ln>
              <a:noFill/>
            </a:ln>
            <a:effectLst/>
          </c:spPr>
          <c:invertIfNegative val="0"/>
          <c:cat>
            <c:strRef>
              <c:f>DrinkSource!$G$4:$G$9</c:f>
              <c:strCache>
                <c:ptCount val="6"/>
                <c:pt idx="0">
                  <c:v>Average</c:v>
                </c:pt>
                <c:pt idx="1">
                  <c:v>Rafah</c:v>
                </c:pt>
                <c:pt idx="2">
                  <c:v>Khan Yunis</c:v>
                </c:pt>
                <c:pt idx="3">
                  <c:v>Deir al-Balah</c:v>
                </c:pt>
                <c:pt idx="4">
                  <c:v>Gaza</c:v>
                </c:pt>
                <c:pt idx="5">
                  <c:v>North Gaza</c:v>
                </c:pt>
              </c:strCache>
            </c:strRef>
          </c:cat>
          <c:val>
            <c:numRef>
              <c:f>DrinkSource!$J$4:$J$9</c:f>
              <c:numCache>
                <c:formatCode>0.0%</c:formatCode>
                <c:ptCount val="6"/>
                <c:pt idx="0">
                  <c:v>8.148876125504044E-2</c:v>
                </c:pt>
                <c:pt idx="1">
                  <c:v>3.9510294936004449E-2</c:v>
                </c:pt>
                <c:pt idx="2">
                  <c:v>9.0471276229790162E-2</c:v>
                </c:pt>
                <c:pt idx="3">
                  <c:v>6.5386187167960769E-2</c:v>
                </c:pt>
                <c:pt idx="4">
                  <c:v>4.6568086515118082E-2</c:v>
                </c:pt>
                <c:pt idx="5">
                  <c:v>0.16550796142632879</c:v>
                </c:pt>
              </c:numCache>
            </c:numRef>
          </c:val>
        </c:ser>
        <c:ser>
          <c:idx val="3"/>
          <c:order val="3"/>
          <c:tx>
            <c:strRef>
              <c:f>DrinkSource!$K$3</c:f>
              <c:strCache>
                <c:ptCount val="1"/>
                <c:pt idx="0">
                  <c:v>Other </c:v>
                </c:pt>
              </c:strCache>
            </c:strRef>
          </c:tx>
          <c:spPr>
            <a:solidFill>
              <a:schemeClr val="bg1">
                <a:lumMod val="65000"/>
              </a:schemeClr>
            </a:solidFill>
            <a:ln>
              <a:noFill/>
            </a:ln>
            <a:effectLst/>
          </c:spPr>
          <c:invertIfNegative val="0"/>
          <c:cat>
            <c:strRef>
              <c:f>DrinkSource!$G$4:$G$9</c:f>
              <c:strCache>
                <c:ptCount val="6"/>
                <c:pt idx="0">
                  <c:v>Average</c:v>
                </c:pt>
                <c:pt idx="1">
                  <c:v>Rafah</c:v>
                </c:pt>
                <c:pt idx="2">
                  <c:v>Khan Yunis</c:v>
                </c:pt>
                <c:pt idx="3">
                  <c:v>Deir al-Balah</c:v>
                </c:pt>
                <c:pt idx="4">
                  <c:v>Gaza</c:v>
                </c:pt>
                <c:pt idx="5">
                  <c:v>North Gaza</c:v>
                </c:pt>
              </c:strCache>
            </c:strRef>
          </c:cat>
          <c:val>
            <c:numRef>
              <c:f>DrinkSource!$K$4:$K$9</c:f>
              <c:numCache>
                <c:formatCode>0.0%</c:formatCode>
                <c:ptCount val="6"/>
                <c:pt idx="0">
                  <c:v>2.9395189085294229E-2</c:v>
                </c:pt>
                <c:pt idx="1">
                  <c:v>2.003338898163606E-2</c:v>
                </c:pt>
                <c:pt idx="2">
                  <c:v>1.1695906432748537E-2</c:v>
                </c:pt>
                <c:pt idx="3">
                  <c:v>5.557825909276666E-2</c:v>
                </c:pt>
                <c:pt idx="4">
                  <c:v>2.6925623482674906E-2</c:v>
                </c:pt>
                <c:pt idx="5">
                  <c:v>3.274276743664499E-2</c:v>
                </c:pt>
              </c:numCache>
            </c:numRef>
          </c:val>
        </c:ser>
        <c:dLbls>
          <c:showLegendKey val="0"/>
          <c:showVal val="0"/>
          <c:showCatName val="0"/>
          <c:showSerName val="0"/>
          <c:showPercent val="0"/>
          <c:showBubbleSize val="0"/>
        </c:dLbls>
        <c:gapWidth val="50"/>
        <c:overlap val="100"/>
        <c:axId val="522648152"/>
        <c:axId val="522642664"/>
      </c:barChart>
      <c:catAx>
        <c:axId val="522648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642664"/>
        <c:crosses val="autoZero"/>
        <c:auto val="1"/>
        <c:lblAlgn val="ctr"/>
        <c:lblOffset val="100"/>
        <c:noMultiLvlLbl val="0"/>
      </c:catAx>
      <c:valAx>
        <c:axId val="52264266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648152"/>
        <c:crosses val="autoZero"/>
        <c:crossBetween val="between"/>
      </c:valAx>
      <c:spPr>
        <a:noFill/>
        <a:ln>
          <a:noFill/>
        </a:ln>
        <a:effectLst/>
      </c:spPr>
    </c:plotArea>
    <c:legend>
      <c:legendPos val="r"/>
      <c:layout>
        <c:manualLayout>
          <c:xMode val="edge"/>
          <c:yMode val="edge"/>
          <c:x val="0.79069962566154628"/>
          <c:y val="0.16837346198777176"/>
          <c:w val="0.19290693171550277"/>
          <c:h val="0.8316265380122281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0">
                <a:latin typeface="+mn-lt"/>
              </a:rPr>
              <a:t>2015 Sources of Drinking Water by Governorate</a:t>
            </a:r>
          </a:p>
        </c:rich>
      </c:tx>
      <c:layout>
        <c:manualLayout>
          <c:xMode val="edge"/>
          <c:yMode val="edge"/>
          <c:x val="0.19377957249351821"/>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1238124195860339"/>
          <c:y val="0.23986246037427139"/>
          <c:w val="0.58843207182324575"/>
          <c:h val="0.6419669700378362"/>
        </c:manualLayout>
      </c:layout>
      <c:barChart>
        <c:barDir val="bar"/>
        <c:grouping val="stacked"/>
        <c:varyColors val="0"/>
        <c:ser>
          <c:idx val="0"/>
          <c:order val="0"/>
          <c:tx>
            <c:strRef>
              <c:f>DrinkSource!$B$10</c:f>
              <c:strCache>
                <c:ptCount val="1"/>
                <c:pt idx="0">
                  <c:v>Tanker delivery (vendors)</c:v>
                </c:pt>
              </c:strCache>
            </c:strRef>
          </c:tx>
          <c:spPr>
            <a:solidFill>
              <a:srgbClr val="00B0F0"/>
            </a:solidFill>
            <a:ln>
              <a:noFill/>
            </a:ln>
            <a:effectLst/>
          </c:spPr>
          <c:invertIfNegative val="0"/>
          <c:cat>
            <c:strRef>
              <c:f>DrinkSource!$A$11:$A$16</c:f>
              <c:strCache>
                <c:ptCount val="6"/>
                <c:pt idx="0">
                  <c:v>Average</c:v>
                </c:pt>
                <c:pt idx="1">
                  <c:v>Rafah</c:v>
                </c:pt>
                <c:pt idx="2">
                  <c:v>Khan Yunis</c:v>
                </c:pt>
                <c:pt idx="3">
                  <c:v>Deir al Balah</c:v>
                </c:pt>
                <c:pt idx="4">
                  <c:v>Gaza</c:v>
                </c:pt>
                <c:pt idx="5">
                  <c:v>North</c:v>
                </c:pt>
              </c:strCache>
            </c:strRef>
          </c:cat>
          <c:val>
            <c:numRef>
              <c:f>DrinkSource!$B$11:$B$16</c:f>
              <c:numCache>
                <c:formatCode>General</c:formatCode>
                <c:ptCount val="6"/>
                <c:pt idx="0">
                  <c:v>84.55</c:v>
                </c:pt>
                <c:pt idx="1">
                  <c:v>78.8</c:v>
                </c:pt>
                <c:pt idx="2">
                  <c:v>78.77</c:v>
                </c:pt>
                <c:pt idx="3">
                  <c:v>95.62</c:v>
                </c:pt>
                <c:pt idx="4">
                  <c:v>90.4</c:v>
                </c:pt>
                <c:pt idx="5">
                  <c:v>79.44</c:v>
                </c:pt>
              </c:numCache>
            </c:numRef>
          </c:val>
        </c:ser>
        <c:ser>
          <c:idx val="1"/>
          <c:order val="1"/>
          <c:tx>
            <c:strRef>
              <c:f>DrinkSource!$C$10</c:f>
              <c:strCache>
                <c:ptCount val="1"/>
                <c:pt idx="0">
                  <c:v>Public filling points</c:v>
                </c:pt>
              </c:strCache>
            </c:strRef>
          </c:tx>
          <c:spPr>
            <a:solidFill>
              <a:srgbClr val="002060"/>
            </a:solidFill>
            <a:ln>
              <a:noFill/>
            </a:ln>
            <a:effectLst/>
          </c:spPr>
          <c:invertIfNegative val="0"/>
          <c:cat>
            <c:strRef>
              <c:f>DrinkSource!$A$11:$A$16</c:f>
              <c:strCache>
                <c:ptCount val="6"/>
                <c:pt idx="0">
                  <c:v>Average</c:v>
                </c:pt>
                <c:pt idx="1">
                  <c:v>Rafah</c:v>
                </c:pt>
                <c:pt idx="2">
                  <c:v>Khan Yunis</c:v>
                </c:pt>
                <c:pt idx="3">
                  <c:v>Deir al Balah</c:v>
                </c:pt>
                <c:pt idx="4">
                  <c:v>Gaza</c:v>
                </c:pt>
                <c:pt idx="5">
                  <c:v>North</c:v>
                </c:pt>
              </c:strCache>
            </c:strRef>
          </c:cat>
          <c:val>
            <c:numRef>
              <c:f>DrinkSource!$C$11:$C$16</c:f>
              <c:numCache>
                <c:formatCode>General</c:formatCode>
                <c:ptCount val="6"/>
                <c:pt idx="0">
                  <c:v>10.8</c:v>
                </c:pt>
                <c:pt idx="1">
                  <c:v>17.45</c:v>
                </c:pt>
                <c:pt idx="2">
                  <c:v>17.989999999999998</c:v>
                </c:pt>
                <c:pt idx="3">
                  <c:v>3.46</c:v>
                </c:pt>
                <c:pt idx="4">
                  <c:v>6.29</c:v>
                </c:pt>
                <c:pt idx="5">
                  <c:v>9.76</c:v>
                </c:pt>
              </c:numCache>
            </c:numRef>
          </c:val>
        </c:ser>
        <c:ser>
          <c:idx val="2"/>
          <c:order val="2"/>
          <c:tx>
            <c:strRef>
              <c:f>DrinkSource!$D$10</c:f>
              <c:strCache>
                <c:ptCount val="1"/>
                <c:pt idx="0">
                  <c:v>Municipal network</c:v>
                </c:pt>
              </c:strCache>
            </c:strRef>
          </c:tx>
          <c:spPr>
            <a:solidFill>
              <a:srgbClr val="0070C0"/>
            </a:solidFill>
            <a:ln>
              <a:noFill/>
            </a:ln>
            <a:effectLst/>
          </c:spPr>
          <c:invertIfNegative val="0"/>
          <c:cat>
            <c:strRef>
              <c:f>DrinkSource!$A$11:$A$16</c:f>
              <c:strCache>
                <c:ptCount val="6"/>
                <c:pt idx="0">
                  <c:v>Average</c:v>
                </c:pt>
                <c:pt idx="1">
                  <c:v>Rafah</c:v>
                </c:pt>
                <c:pt idx="2">
                  <c:v>Khan Yunis</c:v>
                </c:pt>
                <c:pt idx="3">
                  <c:v>Deir al Balah</c:v>
                </c:pt>
                <c:pt idx="4">
                  <c:v>Gaza</c:v>
                </c:pt>
                <c:pt idx="5">
                  <c:v>North</c:v>
                </c:pt>
              </c:strCache>
            </c:strRef>
          </c:cat>
          <c:val>
            <c:numRef>
              <c:f>DrinkSource!$D$11:$D$16</c:f>
              <c:numCache>
                <c:formatCode>General</c:formatCode>
                <c:ptCount val="6"/>
                <c:pt idx="0">
                  <c:v>2.68</c:v>
                </c:pt>
                <c:pt idx="1">
                  <c:v>1.88</c:v>
                </c:pt>
                <c:pt idx="2">
                  <c:v>1.94</c:v>
                </c:pt>
                <c:pt idx="3">
                  <c:v>0.69</c:v>
                </c:pt>
                <c:pt idx="4">
                  <c:v>1.43</c:v>
                </c:pt>
                <c:pt idx="5">
                  <c:v>6.95</c:v>
                </c:pt>
              </c:numCache>
            </c:numRef>
          </c:val>
        </c:ser>
        <c:ser>
          <c:idx val="3"/>
          <c:order val="3"/>
          <c:tx>
            <c:strRef>
              <c:f>DrinkSource!$E$10</c:f>
              <c:strCache>
                <c:ptCount val="1"/>
                <c:pt idx="0">
                  <c:v>Desalination unit (home filters)</c:v>
                </c:pt>
              </c:strCache>
            </c:strRef>
          </c:tx>
          <c:spPr>
            <a:solidFill>
              <a:srgbClr val="92D050"/>
            </a:solidFill>
            <a:ln>
              <a:noFill/>
            </a:ln>
            <a:effectLst/>
          </c:spPr>
          <c:invertIfNegative val="0"/>
          <c:cat>
            <c:strRef>
              <c:f>DrinkSource!$A$11:$A$16</c:f>
              <c:strCache>
                <c:ptCount val="6"/>
                <c:pt idx="0">
                  <c:v>Average</c:v>
                </c:pt>
                <c:pt idx="1">
                  <c:v>Rafah</c:v>
                </c:pt>
                <c:pt idx="2">
                  <c:v>Khan Yunis</c:v>
                </c:pt>
                <c:pt idx="3">
                  <c:v>Deir al Balah</c:v>
                </c:pt>
                <c:pt idx="4">
                  <c:v>Gaza</c:v>
                </c:pt>
                <c:pt idx="5">
                  <c:v>North</c:v>
                </c:pt>
              </c:strCache>
            </c:strRef>
          </c:cat>
          <c:val>
            <c:numRef>
              <c:f>DrinkSource!$E$11:$E$16</c:f>
              <c:numCache>
                <c:formatCode>General</c:formatCode>
                <c:ptCount val="6"/>
                <c:pt idx="0">
                  <c:v>2.56</c:v>
                </c:pt>
                <c:pt idx="1">
                  <c:v>2.63</c:v>
                </c:pt>
                <c:pt idx="2">
                  <c:v>3.24</c:v>
                </c:pt>
                <c:pt idx="3">
                  <c:v>1.38</c:v>
                </c:pt>
                <c:pt idx="4">
                  <c:v>1.43</c:v>
                </c:pt>
                <c:pt idx="5">
                  <c:v>4.1399999999999997</c:v>
                </c:pt>
              </c:numCache>
            </c:numRef>
          </c:val>
        </c:ser>
        <c:ser>
          <c:idx val="4"/>
          <c:order val="4"/>
          <c:tx>
            <c:strRef>
              <c:f>DrinkSource!$F$10</c:f>
              <c:strCache>
                <c:ptCount val="1"/>
                <c:pt idx="0">
                  <c:v>Bottling</c:v>
                </c:pt>
              </c:strCache>
            </c:strRef>
          </c:tx>
          <c:spPr>
            <a:solidFill>
              <a:srgbClr val="00B050"/>
            </a:solidFill>
            <a:ln>
              <a:noFill/>
            </a:ln>
            <a:effectLst/>
          </c:spPr>
          <c:invertIfNegative val="0"/>
          <c:cat>
            <c:strRef>
              <c:f>DrinkSource!$A$11:$A$16</c:f>
              <c:strCache>
                <c:ptCount val="6"/>
                <c:pt idx="0">
                  <c:v>Average</c:v>
                </c:pt>
                <c:pt idx="1">
                  <c:v>Rafah</c:v>
                </c:pt>
                <c:pt idx="2">
                  <c:v>Khan Yunis</c:v>
                </c:pt>
                <c:pt idx="3">
                  <c:v>Deir al Balah</c:v>
                </c:pt>
                <c:pt idx="4">
                  <c:v>Gaza</c:v>
                </c:pt>
                <c:pt idx="5">
                  <c:v>North</c:v>
                </c:pt>
              </c:strCache>
            </c:strRef>
          </c:cat>
          <c:val>
            <c:numRef>
              <c:f>DrinkSource!$F$11:$F$16</c:f>
              <c:numCache>
                <c:formatCode>General</c:formatCode>
                <c:ptCount val="6"/>
                <c:pt idx="0">
                  <c:v>0.82</c:v>
                </c:pt>
                <c:pt idx="1">
                  <c:v>1.31</c:v>
                </c:pt>
                <c:pt idx="2">
                  <c:v>0</c:v>
                </c:pt>
                <c:pt idx="3">
                  <c:v>0</c:v>
                </c:pt>
                <c:pt idx="4">
                  <c:v>1.32</c:v>
                </c:pt>
                <c:pt idx="5">
                  <c:v>1.04</c:v>
                </c:pt>
              </c:numCache>
            </c:numRef>
          </c:val>
        </c:ser>
        <c:ser>
          <c:idx val="5"/>
          <c:order val="5"/>
          <c:tx>
            <c:strRef>
              <c:f>DrinkSource!$G$10</c:f>
              <c:strCache>
                <c:ptCount val="1"/>
                <c:pt idx="0">
                  <c:v>Private well</c:v>
                </c:pt>
              </c:strCache>
            </c:strRef>
          </c:tx>
          <c:spPr>
            <a:solidFill>
              <a:srgbClr val="FF0000"/>
            </a:solidFill>
            <a:ln>
              <a:noFill/>
            </a:ln>
            <a:effectLst/>
          </c:spPr>
          <c:invertIfNegative val="0"/>
          <c:cat>
            <c:strRef>
              <c:f>DrinkSource!$A$11:$A$16</c:f>
              <c:strCache>
                <c:ptCount val="6"/>
                <c:pt idx="0">
                  <c:v>Average</c:v>
                </c:pt>
                <c:pt idx="1">
                  <c:v>Rafah</c:v>
                </c:pt>
                <c:pt idx="2">
                  <c:v>Khan Yunis</c:v>
                </c:pt>
                <c:pt idx="3">
                  <c:v>Deir al Balah</c:v>
                </c:pt>
                <c:pt idx="4">
                  <c:v>Gaza</c:v>
                </c:pt>
                <c:pt idx="5">
                  <c:v>North</c:v>
                </c:pt>
              </c:strCache>
            </c:strRef>
          </c:cat>
          <c:val>
            <c:numRef>
              <c:f>DrinkSource!$G$11:$G$16</c:f>
              <c:numCache>
                <c:formatCode>General</c:formatCode>
                <c:ptCount val="6"/>
                <c:pt idx="0">
                  <c:v>0.76</c:v>
                </c:pt>
                <c:pt idx="1">
                  <c:v>1.31</c:v>
                </c:pt>
                <c:pt idx="2">
                  <c:v>0.65</c:v>
                </c:pt>
                <c:pt idx="3">
                  <c:v>0</c:v>
                </c:pt>
                <c:pt idx="4">
                  <c:v>0.44</c:v>
                </c:pt>
                <c:pt idx="5">
                  <c:v>1.33</c:v>
                </c:pt>
              </c:numCache>
            </c:numRef>
          </c:val>
        </c:ser>
        <c:dLbls>
          <c:showLegendKey val="0"/>
          <c:showVal val="0"/>
          <c:showCatName val="0"/>
          <c:showSerName val="0"/>
          <c:showPercent val="0"/>
          <c:showBubbleSize val="0"/>
        </c:dLbls>
        <c:gapWidth val="50"/>
        <c:overlap val="100"/>
        <c:axId val="522641488"/>
        <c:axId val="522643840"/>
      </c:barChart>
      <c:catAx>
        <c:axId val="522641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643840"/>
        <c:crosses val="autoZero"/>
        <c:auto val="1"/>
        <c:lblAlgn val="ctr"/>
        <c:lblOffset val="100"/>
        <c:noMultiLvlLbl val="0"/>
      </c:catAx>
      <c:valAx>
        <c:axId val="522643840"/>
        <c:scaling>
          <c:orientation val="minMax"/>
          <c:max val="11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641488"/>
        <c:crosses val="autoZero"/>
        <c:crossBetween val="between"/>
      </c:valAx>
      <c:spPr>
        <a:noFill/>
        <a:ln>
          <a:noFill/>
        </a:ln>
        <a:effectLst/>
      </c:spPr>
    </c:plotArea>
    <c:legend>
      <c:legendPos val="r"/>
      <c:layout>
        <c:manualLayout>
          <c:xMode val="edge"/>
          <c:yMode val="edge"/>
          <c:x val="0.79024982063660154"/>
          <c:y val="0.12337662337662338"/>
          <c:w val="0.2052132964071901"/>
          <c:h val="0.87662337662337664"/>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a:t>Drinking</a:t>
            </a:r>
            <a:r>
              <a:rPr lang="en-US" baseline="0"/>
              <a:t> Water Sources by Area Type</a:t>
            </a:r>
            <a:endParaRPr lang="en-US"/>
          </a:p>
        </c:rich>
      </c:tx>
      <c:layout>
        <c:manualLayout>
          <c:xMode val="edge"/>
          <c:yMode val="edge"/>
          <c:x val="0.19858246290642242"/>
          <c:y val="9.0375056484410295E-3"/>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435892388451443"/>
          <c:y val="0.18642888212266204"/>
          <c:w val="0.64751946631671042"/>
          <c:h val="0.61175930651121846"/>
        </c:manualLayout>
      </c:layout>
      <c:barChart>
        <c:barDir val="bar"/>
        <c:grouping val="stacked"/>
        <c:varyColors val="0"/>
        <c:ser>
          <c:idx val="0"/>
          <c:order val="0"/>
          <c:tx>
            <c:strRef>
              <c:f>Drink2!$BG$9</c:f>
              <c:strCache>
                <c:ptCount val="1"/>
                <c:pt idx="0">
                  <c:v>Tanker Delivery (vendors)</c:v>
                </c:pt>
              </c:strCache>
            </c:strRef>
          </c:tx>
          <c:spPr>
            <a:solidFill>
              <a:srgbClr val="00B0F0"/>
            </a:solidFill>
            <a:ln>
              <a:noFill/>
            </a:ln>
            <a:effectLst/>
          </c:spPr>
          <c:invertIfNegative val="0"/>
          <c:cat>
            <c:strRef>
              <c:f>Drink2!$BF$10:$BF$13</c:f>
              <c:strCache>
                <c:ptCount val="3"/>
                <c:pt idx="0">
                  <c:v>Urban</c:v>
                </c:pt>
                <c:pt idx="1">
                  <c:v>Camp</c:v>
                </c:pt>
                <c:pt idx="2">
                  <c:v>Rural</c:v>
                </c:pt>
              </c:strCache>
            </c:strRef>
          </c:cat>
          <c:val>
            <c:numRef>
              <c:f>Drink2!$BG$10:$BG$13</c:f>
              <c:numCache>
                <c:formatCode>0%</c:formatCode>
                <c:ptCount val="3"/>
                <c:pt idx="0">
                  <c:v>0.89798783341132427</c:v>
                </c:pt>
                <c:pt idx="1">
                  <c:v>0.75480769230769229</c:v>
                </c:pt>
                <c:pt idx="2">
                  <c:v>0.70864197530864192</c:v>
                </c:pt>
              </c:numCache>
            </c:numRef>
          </c:val>
        </c:ser>
        <c:ser>
          <c:idx val="1"/>
          <c:order val="1"/>
          <c:tx>
            <c:strRef>
              <c:f>Drink2!$BH$9</c:f>
              <c:strCache>
                <c:ptCount val="1"/>
                <c:pt idx="0">
                  <c:v>Public filling points</c:v>
                </c:pt>
              </c:strCache>
            </c:strRef>
          </c:tx>
          <c:spPr>
            <a:solidFill>
              <a:srgbClr val="002060"/>
            </a:solidFill>
            <a:ln>
              <a:noFill/>
            </a:ln>
            <a:effectLst/>
          </c:spPr>
          <c:invertIfNegative val="0"/>
          <c:cat>
            <c:strRef>
              <c:f>Drink2!$BF$10:$BF$13</c:f>
              <c:strCache>
                <c:ptCount val="3"/>
                <c:pt idx="0">
                  <c:v>Urban</c:v>
                </c:pt>
                <c:pt idx="1">
                  <c:v>Camp</c:v>
                </c:pt>
                <c:pt idx="2">
                  <c:v>Rural</c:v>
                </c:pt>
              </c:strCache>
            </c:strRef>
          </c:cat>
          <c:val>
            <c:numRef>
              <c:f>Drink2!$BH$10:$BH$13</c:f>
              <c:numCache>
                <c:formatCode>0%</c:formatCode>
                <c:ptCount val="3"/>
                <c:pt idx="0">
                  <c:v>6.0832943378568087E-2</c:v>
                </c:pt>
                <c:pt idx="1">
                  <c:v>0.20512820512820512</c:v>
                </c:pt>
                <c:pt idx="2">
                  <c:v>0.2074074074074074</c:v>
                </c:pt>
              </c:numCache>
            </c:numRef>
          </c:val>
        </c:ser>
        <c:ser>
          <c:idx val="2"/>
          <c:order val="2"/>
          <c:tx>
            <c:strRef>
              <c:f>Drink2!$BI$9</c:f>
              <c:strCache>
                <c:ptCount val="1"/>
                <c:pt idx="0">
                  <c:v>Municipal Network</c:v>
                </c:pt>
              </c:strCache>
            </c:strRef>
          </c:tx>
          <c:spPr>
            <a:solidFill>
              <a:srgbClr val="0070C0"/>
            </a:solidFill>
            <a:ln>
              <a:noFill/>
            </a:ln>
            <a:effectLst/>
          </c:spPr>
          <c:invertIfNegative val="0"/>
          <c:cat>
            <c:strRef>
              <c:f>Drink2!$BF$10:$BF$13</c:f>
              <c:strCache>
                <c:ptCount val="3"/>
                <c:pt idx="0">
                  <c:v>Urban</c:v>
                </c:pt>
                <c:pt idx="1">
                  <c:v>Camp</c:v>
                </c:pt>
                <c:pt idx="2">
                  <c:v>Rural</c:v>
                </c:pt>
              </c:strCache>
            </c:strRef>
          </c:cat>
          <c:val>
            <c:numRef>
              <c:f>Drink2!$BI$10:$BI$13</c:f>
              <c:numCache>
                <c:formatCode>0%</c:formatCode>
                <c:ptCount val="3"/>
                <c:pt idx="0">
                  <c:v>9.8268600842302285E-3</c:v>
                </c:pt>
                <c:pt idx="1">
                  <c:v>4.807692307692308E-3</c:v>
                </c:pt>
                <c:pt idx="2">
                  <c:v>4.9382716049382715E-3</c:v>
                </c:pt>
              </c:numCache>
            </c:numRef>
          </c:val>
        </c:ser>
        <c:ser>
          <c:idx val="3"/>
          <c:order val="3"/>
          <c:tx>
            <c:strRef>
              <c:f>Drink2!$BJ$9</c:f>
              <c:strCache>
                <c:ptCount val="1"/>
                <c:pt idx="0">
                  <c:v>Desalination Unit (home filters)</c:v>
                </c:pt>
              </c:strCache>
            </c:strRef>
          </c:tx>
          <c:spPr>
            <a:solidFill>
              <a:srgbClr val="92D050"/>
            </a:solidFill>
            <a:ln>
              <a:noFill/>
            </a:ln>
            <a:effectLst/>
          </c:spPr>
          <c:invertIfNegative val="0"/>
          <c:cat>
            <c:strRef>
              <c:f>Drink2!$BF$10:$BF$13</c:f>
              <c:strCache>
                <c:ptCount val="3"/>
                <c:pt idx="0">
                  <c:v>Urban</c:v>
                </c:pt>
                <c:pt idx="1">
                  <c:v>Camp</c:v>
                </c:pt>
                <c:pt idx="2">
                  <c:v>Rural</c:v>
                </c:pt>
              </c:strCache>
            </c:strRef>
          </c:cat>
          <c:val>
            <c:numRef>
              <c:f>Drink2!$BJ$10:$BJ$13</c:f>
              <c:numCache>
                <c:formatCode>0%</c:formatCode>
                <c:ptCount val="3"/>
                <c:pt idx="0">
                  <c:v>2.8076743097800654E-2</c:v>
                </c:pt>
                <c:pt idx="1">
                  <c:v>1.9230769230769232E-2</c:v>
                </c:pt>
                <c:pt idx="2">
                  <c:v>2.2222222222222223E-2</c:v>
                </c:pt>
              </c:numCache>
            </c:numRef>
          </c:val>
        </c:ser>
        <c:ser>
          <c:idx val="4"/>
          <c:order val="4"/>
          <c:tx>
            <c:strRef>
              <c:f>Drink2!$BK$9</c:f>
              <c:strCache>
                <c:ptCount val="1"/>
                <c:pt idx="0">
                  <c:v>Bottling</c:v>
                </c:pt>
              </c:strCache>
            </c:strRef>
          </c:tx>
          <c:spPr>
            <a:solidFill>
              <a:srgbClr val="00B050"/>
            </a:solidFill>
            <a:ln>
              <a:noFill/>
            </a:ln>
            <a:effectLst/>
          </c:spPr>
          <c:invertIfNegative val="0"/>
          <c:cat>
            <c:strRef>
              <c:f>Drink2!$BF$10:$BF$13</c:f>
              <c:strCache>
                <c:ptCount val="3"/>
                <c:pt idx="0">
                  <c:v>Urban</c:v>
                </c:pt>
                <c:pt idx="1">
                  <c:v>Camp</c:v>
                </c:pt>
                <c:pt idx="2">
                  <c:v>Rural</c:v>
                </c:pt>
              </c:strCache>
            </c:strRef>
          </c:cat>
          <c:val>
            <c:numRef>
              <c:f>Drink2!$BK$10:$BK$13</c:f>
              <c:numCache>
                <c:formatCode>0%</c:formatCode>
                <c:ptCount val="3"/>
                <c:pt idx="0">
                  <c:v>2.2929340196537203E-2</c:v>
                </c:pt>
                <c:pt idx="1">
                  <c:v>1.4423076923076924E-2</c:v>
                </c:pt>
                <c:pt idx="2">
                  <c:v>6.6666666666666666E-2</c:v>
                </c:pt>
              </c:numCache>
            </c:numRef>
          </c:val>
        </c:ser>
        <c:ser>
          <c:idx val="5"/>
          <c:order val="5"/>
          <c:tx>
            <c:strRef>
              <c:f>Drink2!$BL$9</c:f>
              <c:strCache>
                <c:ptCount val="1"/>
                <c:pt idx="0">
                  <c:v>Private Well</c:v>
                </c:pt>
              </c:strCache>
            </c:strRef>
          </c:tx>
          <c:spPr>
            <a:solidFill>
              <a:srgbClr val="FF0000"/>
            </a:solidFill>
            <a:ln>
              <a:noFill/>
            </a:ln>
            <a:effectLst/>
          </c:spPr>
          <c:invertIfNegative val="0"/>
          <c:cat>
            <c:strRef>
              <c:f>Drink2!$BF$10:$BF$13</c:f>
              <c:strCache>
                <c:ptCount val="3"/>
                <c:pt idx="0">
                  <c:v>Urban</c:v>
                </c:pt>
                <c:pt idx="1">
                  <c:v>Camp</c:v>
                </c:pt>
                <c:pt idx="2">
                  <c:v>Rural</c:v>
                </c:pt>
              </c:strCache>
            </c:strRef>
          </c:cat>
          <c:val>
            <c:numRef>
              <c:f>Drink2!$BL$10:$BL$13</c:f>
              <c:numCache>
                <c:formatCode>0%</c:formatCode>
                <c:ptCount val="3"/>
                <c:pt idx="0">
                  <c:v>7.9550772110435191E-3</c:v>
                </c:pt>
                <c:pt idx="1">
                  <c:v>4.807692307692308E-3</c:v>
                </c:pt>
                <c:pt idx="2">
                  <c:v>9.876543209876543E-3</c:v>
                </c:pt>
              </c:numCache>
            </c:numRef>
          </c:val>
        </c:ser>
        <c:dLbls>
          <c:showLegendKey val="0"/>
          <c:showVal val="0"/>
          <c:showCatName val="0"/>
          <c:showSerName val="0"/>
          <c:showPercent val="0"/>
          <c:showBubbleSize val="0"/>
        </c:dLbls>
        <c:gapWidth val="50"/>
        <c:overlap val="100"/>
        <c:axId val="522645800"/>
        <c:axId val="522645016"/>
      </c:barChart>
      <c:catAx>
        <c:axId val="522645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645016"/>
        <c:crosses val="autoZero"/>
        <c:auto val="1"/>
        <c:lblAlgn val="ctr"/>
        <c:lblOffset val="100"/>
        <c:noMultiLvlLbl val="0"/>
      </c:catAx>
      <c:valAx>
        <c:axId val="522645016"/>
        <c:scaling>
          <c:orientation val="minMax"/>
          <c:max val="1.1000000000000001"/>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645800"/>
        <c:crosses val="autoZero"/>
        <c:crossBetween val="between"/>
      </c:valAx>
      <c:spPr>
        <a:noFill/>
        <a:ln>
          <a:noFill/>
        </a:ln>
        <a:effectLst/>
      </c:spPr>
    </c:plotArea>
    <c:legend>
      <c:legendPos val="r"/>
      <c:layout>
        <c:manualLayout>
          <c:xMode val="edge"/>
          <c:yMode val="edge"/>
          <c:x val="0.7811083614548181"/>
          <c:y val="8.1413007367119566E-2"/>
          <c:w val="0.21889163854518182"/>
          <c:h val="0.8702868874332416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a:t>Drinking Water Sources by Income Quintile</a:t>
            </a:r>
          </a:p>
        </c:rich>
      </c:tx>
      <c:layout>
        <c:manualLayout>
          <c:xMode val="edge"/>
          <c:yMode val="edge"/>
          <c:x val="0.16510771059277973"/>
          <c:y val="3.6150022593764118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797631428146953"/>
          <c:y val="0.2027112516945323"/>
          <c:w val="0.62562535815098586"/>
          <c:h val="0.63282180102543661"/>
        </c:manualLayout>
      </c:layout>
      <c:barChart>
        <c:barDir val="bar"/>
        <c:grouping val="stacked"/>
        <c:varyColors val="0"/>
        <c:ser>
          <c:idx val="0"/>
          <c:order val="0"/>
          <c:tx>
            <c:strRef>
              <c:f>Drink2!$AF$9</c:f>
              <c:strCache>
                <c:ptCount val="1"/>
                <c:pt idx="0">
                  <c:v>Tanker Delivery (vendors)</c:v>
                </c:pt>
              </c:strCache>
            </c:strRef>
          </c:tx>
          <c:spPr>
            <a:solidFill>
              <a:srgbClr val="00B0F0"/>
            </a:solidFill>
            <a:ln>
              <a:noFill/>
            </a:ln>
            <a:effectLst/>
          </c:spPr>
          <c:invertIfNegative val="0"/>
          <c:cat>
            <c:strRef>
              <c:f>Drink2!$AE$10:$AE$15</c:f>
              <c:strCache>
                <c:ptCount val="5"/>
                <c:pt idx="0">
                  <c:v>1</c:v>
                </c:pt>
                <c:pt idx="1">
                  <c:v>2</c:v>
                </c:pt>
                <c:pt idx="2">
                  <c:v>3</c:v>
                </c:pt>
                <c:pt idx="3">
                  <c:v>4</c:v>
                </c:pt>
                <c:pt idx="4">
                  <c:v>5</c:v>
                </c:pt>
              </c:strCache>
            </c:strRef>
          </c:cat>
          <c:val>
            <c:numRef>
              <c:f>Drink2!$AF$10:$AF$15</c:f>
              <c:numCache>
                <c:formatCode>0%</c:formatCode>
                <c:ptCount val="5"/>
                <c:pt idx="0">
                  <c:v>0.80453563714902809</c:v>
                </c:pt>
                <c:pt idx="1">
                  <c:v>0.8290909090909091</c:v>
                </c:pt>
                <c:pt idx="2">
                  <c:v>0.82658959537572252</c:v>
                </c:pt>
                <c:pt idx="3">
                  <c:v>0.87982832618025753</c:v>
                </c:pt>
                <c:pt idx="4">
                  <c:v>0.88353413654618473</c:v>
                </c:pt>
              </c:numCache>
            </c:numRef>
          </c:val>
        </c:ser>
        <c:ser>
          <c:idx val="1"/>
          <c:order val="1"/>
          <c:tx>
            <c:strRef>
              <c:f>Drink2!$AG$9</c:f>
              <c:strCache>
                <c:ptCount val="1"/>
                <c:pt idx="0">
                  <c:v>Public filling points</c:v>
                </c:pt>
              </c:strCache>
            </c:strRef>
          </c:tx>
          <c:spPr>
            <a:solidFill>
              <a:srgbClr val="002060"/>
            </a:solidFill>
            <a:ln>
              <a:noFill/>
            </a:ln>
            <a:effectLst/>
          </c:spPr>
          <c:invertIfNegative val="0"/>
          <c:cat>
            <c:strRef>
              <c:f>Drink2!$AE$10:$AE$15</c:f>
              <c:strCache>
                <c:ptCount val="5"/>
                <c:pt idx="0">
                  <c:v>1</c:v>
                </c:pt>
                <c:pt idx="1">
                  <c:v>2</c:v>
                </c:pt>
                <c:pt idx="2">
                  <c:v>3</c:v>
                </c:pt>
                <c:pt idx="3">
                  <c:v>4</c:v>
                </c:pt>
                <c:pt idx="4">
                  <c:v>5</c:v>
                </c:pt>
              </c:strCache>
            </c:strRef>
          </c:cat>
          <c:val>
            <c:numRef>
              <c:f>Drink2!$AG$10:$AG$15</c:f>
              <c:numCache>
                <c:formatCode>0%</c:formatCode>
                <c:ptCount val="5"/>
                <c:pt idx="0">
                  <c:v>0.14578833693304535</c:v>
                </c:pt>
                <c:pt idx="1">
                  <c:v>0.12363636363636364</c:v>
                </c:pt>
                <c:pt idx="2">
                  <c:v>0.11753371868978806</c:v>
                </c:pt>
                <c:pt idx="3">
                  <c:v>9.012875536480687E-2</c:v>
                </c:pt>
                <c:pt idx="4">
                  <c:v>6.5595716198125834E-2</c:v>
                </c:pt>
              </c:numCache>
            </c:numRef>
          </c:val>
        </c:ser>
        <c:ser>
          <c:idx val="4"/>
          <c:order val="2"/>
          <c:tx>
            <c:strRef>
              <c:f>Drink2!$AJ$9</c:f>
              <c:strCache>
                <c:ptCount val="1"/>
                <c:pt idx="0">
                  <c:v>Municipal Network</c:v>
                </c:pt>
              </c:strCache>
            </c:strRef>
          </c:tx>
          <c:spPr>
            <a:solidFill>
              <a:srgbClr val="0070C0"/>
            </a:solidFill>
            <a:ln>
              <a:noFill/>
            </a:ln>
            <a:effectLst/>
          </c:spPr>
          <c:invertIfNegative val="0"/>
          <c:cat>
            <c:strRef>
              <c:f>Drink2!$AE$10:$AE$15</c:f>
              <c:strCache>
                <c:ptCount val="5"/>
                <c:pt idx="0">
                  <c:v>1</c:v>
                </c:pt>
                <c:pt idx="1">
                  <c:v>2</c:v>
                </c:pt>
                <c:pt idx="2">
                  <c:v>3</c:v>
                </c:pt>
                <c:pt idx="3">
                  <c:v>4</c:v>
                </c:pt>
                <c:pt idx="4">
                  <c:v>5</c:v>
                </c:pt>
              </c:strCache>
            </c:strRef>
          </c:cat>
          <c:val>
            <c:numRef>
              <c:f>Drink2!$AJ$10:$AJ$15</c:f>
              <c:numCache>
                <c:formatCode>0%</c:formatCode>
                <c:ptCount val="5"/>
                <c:pt idx="0">
                  <c:v>3.3477321814254862E-2</c:v>
                </c:pt>
                <c:pt idx="1">
                  <c:v>2.5454545454545455E-2</c:v>
                </c:pt>
                <c:pt idx="2">
                  <c:v>4.238921001926782E-2</c:v>
                </c:pt>
                <c:pt idx="3">
                  <c:v>2.0028612303290415E-2</c:v>
                </c:pt>
                <c:pt idx="4">
                  <c:v>1.4725568942436412E-2</c:v>
                </c:pt>
              </c:numCache>
            </c:numRef>
          </c:val>
        </c:ser>
        <c:ser>
          <c:idx val="3"/>
          <c:order val="3"/>
          <c:tx>
            <c:strRef>
              <c:f>Drink2!$AI$9</c:f>
              <c:strCache>
                <c:ptCount val="1"/>
                <c:pt idx="0">
                  <c:v>Desalination Unit (home filters)</c:v>
                </c:pt>
              </c:strCache>
            </c:strRef>
          </c:tx>
          <c:spPr>
            <a:solidFill>
              <a:srgbClr val="92D050"/>
            </a:solidFill>
            <a:ln>
              <a:noFill/>
            </a:ln>
            <a:effectLst/>
          </c:spPr>
          <c:invertIfNegative val="0"/>
          <c:cat>
            <c:strRef>
              <c:f>Drink2!$AE$10:$AE$15</c:f>
              <c:strCache>
                <c:ptCount val="5"/>
                <c:pt idx="0">
                  <c:v>1</c:v>
                </c:pt>
                <c:pt idx="1">
                  <c:v>2</c:v>
                </c:pt>
                <c:pt idx="2">
                  <c:v>3</c:v>
                </c:pt>
                <c:pt idx="3">
                  <c:v>4</c:v>
                </c:pt>
                <c:pt idx="4">
                  <c:v>5</c:v>
                </c:pt>
              </c:strCache>
            </c:strRef>
          </c:cat>
          <c:val>
            <c:numRef>
              <c:f>Drink2!$AI$10:$AI$15</c:f>
              <c:numCache>
                <c:formatCode>0%</c:formatCode>
                <c:ptCount val="5"/>
                <c:pt idx="0">
                  <c:v>1.2958963282937365E-2</c:v>
                </c:pt>
                <c:pt idx="1">
                  <c:v>2.5454545454545455E-2</c:v>
                </c:pt>
                <c:pt idx="2">
                  <c:v>2.5048169556840076E-2</c:v>
                </c:pt>
                <c:pt idx="3">
                  <c:v>1.8597997138769671E-2</c:v>
                </c:pt>
                <c:pt idx="4">
                  <c:v>4.8192771084337352E-2</c:v>
                </c:pt>
              </c:numCache>
            </c:numRef>
          </c:val>
        </c:ser>
        <c:ser>
          <c:idx val="2"/>
          <c:order val="4"/>
          <c:tx>
            <c:strRef>
              <c:f>Drink2!$AH$9</c:f>
              <c:strCache>
                <c:ptCount val="1"/>
                <c:pt idx="0">
                  <c:v>Bottling</c:v>
                </c:pt>
              </c:strCache>
            </c:strRef>
          </c:tx>
          <c:spPr>
            <a:solidFill>
              <a:srgbClr val="00B050"/>
            </a:solidFill>
            <a:ln>
              <a:noFill/>
            </a:ln>
            <a:effectLst/>
          </c:spPr>
          <c:invertIfNegative val="0"/>
          <c:cat>
            <c:strRef>
              <c:f>Drink2!$AE$10:$AE$15</c:f>
              <c:strCache>
                <c:ptCount val="5"/>
                <c:pt idx="0">
                  <c:v>1</c:v>
                </c:pt>
                <c:pt idx="1">
                  <c:v>2</c:v>
                </c:pt>
                <c:pt idx="2">
                  <c:v>3</c:v>
                </c:pt>
                <c:pt idx="3">
                  <c:v>4</c:v>
                </c:pt>
                <c:pt idx="4">
                  <c:v>5</c:v>
                </c:pt>
              </c:strCache>
            </c:strRef>
          </c:cat>
          <c:val>
            <c:numRef>
              <c:f>Drink2!$AH$10:$AH$15</c:f>
              <c:numCache>
                <c:formatCode>0%</c:formatCode>
                <c:ptCount val="5"/>
                <c:pt idx="0">
                  <c:v>8.6393088552915772E-3</c:v>
                </c:pt>
                <c:pt idx="1">
                  <c:v>0</c:v>
                </c:pt>
                <c:pt idx="2">
                  <c:v>7.7071290944123313E-3</c:v>
                </c:pt>
                <c:pt idx="3">
                  <c:v>7.1530758226037196E-3</c:v>
                </c:pt>
                <c:pt idx="4">
                  <c:v>1.2048192771084338E-2</c:v>
                </c:pt>
              </c:numCache>
            </c:numRef>
          </c:val>
        </c:ser>
        <c:ser>
          <c:idx val="5"/>
          <c:order val="5"/>
          <c:tx>
            <c:strRef>
              <c:f>Drink2!$AK$9</c:f>
              <c:strCache>
                <c:ptCount val="1"/>
                <c:pt idx="0">
                  <c:v>Private Well</c:v>
                </c:pt>
              </c:strCache>
            </c:strRef>
          </c:tx>
          <c:spPr>
            <a:solidFill>
              <a:srgbClr val="FF0000"/>
            </a:solidFill>
            <a:ln>
              <a:noFill/>
            </a:ln>
            <a:effectLst/>
          </c:spPr>
          <c:invertIfNegative val="0"/>
          <c:cat>
            <c:strRef>
              <c:f>Drink2!$AE$10:$AE$15</c:f>
              <c:strCache>
                <c:ptCount val="5"/>
                <c:pt idx="0">
                  <c:v>1</c:v>
                </c:pt>
                <c:pt idx="1">
                  <c:v>2</c:v>
                </c:pt>
                <c:pt idx="2">
                  <c:v>3</c:v>
                </c:pt>
                <c:pt idx="3">
                  <c:v>4</c:v>
                </c:pt>
                <c:pt idx="4">
                  <c:v>5</c:v>
                </c:pt>
              </c:strCache>
            </c:strRef>
          </c:cat>
          <c:val>
            <c:numRef>
              <c:f>Drink2!$AK$10:$AK$15</c:f>
              <c:numCache>
                <c:formatCode>0%</c:formatCode>
                <c:ptCount val="5"/>
                <c:pt idx="0">
                  <c:v>8.6393088552915772E-3</c:v>
                </c:pt>
                <c:pt idx="1">
                  <c:v>7.2727272727272727E-3</c:v>
                </c:pt>
                <c:pt idx="2">
                  <c:v>7.7071290944123313E-3</c:v>
                </c:pt>
                <c:pt idx="3">
                  <c:v>7.1530758226037196E-3</c:v>
                </c:pt>
                <c:pt idx="4">
                  <c:v>6.6934404283801874E-3</c:v>
                </c:pt>
              </c:numCache>
            </c:numRef>
          </c:val>
        </c:ser>
        <c:dLbls>
          <c:showLegendKey val="0"/>
          <c:showVal val="0"/>
          <c:showCatName val="0"/>
          <c:showSerName val="0"/>
          <c:showPercent val="0"/>
          <c:showBubbleSize val="0"/>
        </c:dLbls>
        <c:gapWidth val="50"/>
        <c:overlap val="100"/>
        <c:axId val="522646584"/>
        <c:axId val="522646976"/>
      </c:barChart>
      <c:catAx>
        <c:axId val="522646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646976"/>
        <c:crosses val="autoZero"/>
        <c:auto val="1"/>
        <c:lblAlgn val="ctr"/>
        <c:lblOffset val="100"/>
        <c:noMultiLvlLbl val="0"/>
      </c:catAx>
      <c:valAx>
        <c:axId val="522646976"/>
        <c:scaling>
          <c:orientation val="minMax"/>
          <c:max val="1.1000000000000001"/>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646584"/>
        <c:crosses val="autoZero"/>
        <c:crossBetween val="between"/>
      </c:valAx>
      <c:spPr>
        <a:noFill/>
        <a:ln>
          <a:noFill/>
        </a:ln>
        <a:effectLst/>
      </c:spPr>
    </c:plotArea>
    <c:legend>
      <c:legendPos val="r"/>
      <c:layout>
        <c:manualLayout>
          <c:xMode val="edge"/>
          <c:yMode val="edge"/>
          <c:x val="0.78418787274232227"/>
          <c:y val="3.9686747245161899E-2"/>
          <c:w val="0.2158121272576777"/>
          <c:h val="0.9335494269723289"/>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en-US" sz="1100" b="0">
                <a:latin typeface="Arial Narrow" panose="020B0606020202030204" pitchFamily="34" charset="0"/>
              </a:rPr>
              <a:t>Trucked</a:t>
            </a:r>
            <a:r>
              <a:rPr lang="en-US" sz="1100" b="0" baseline="0">
                <a:latin typeface="Arial Narrow" panose="020B0606020202030204" pitchFamily="34" charset="0"/>
              </a:rPr>
              <a:t> Drinking Water: Contamination Potential</a:t>
            </a:r>
            <a:endParaRPr lang="en-US" sz="1100" b="0">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barChart>
        <c:barDir val="col"/>
        <c:grouping val="percentStacked"/>
        <c:varyColors val="0"/>
        <c:ser>
          <c:idx val="0"/>
          <c:order val="0"/>
          <c:tx>
            <c:strRef>
              <c:f>Sheet1!$A$2</c:f>
              <c:strCache>
                <c:ptCount val="1"/>
                <c:pt idx="0">
                  <c:v>Contaminated at Production</c:v>
                </c:pt>
              </c:strCache>
            </c:strRef>
          </c:tx>
          <c:spPr>
            <a:solidFill>
              <a:schemeClr val="accent6">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0.45</c:v>
                </c:pt>
              </c:numCache>
            </c:numRef>
          </c:val>
        </c:ser>
        <c:ser>
          <c:idx val="1"/>
          <c:order val="1"/>
          <c:tx>
            <c:strRef>
              <c:f>Sheet1!$A$3</c:f>
              <c:strCache>
                <c:ptCount val="1"/>
                <c:pt idx="0">
                  <c:v>Contaminated in Distribution</c:v>
                </c:pt>
              </c:strCache>
            </c:strRef>
          </c:tx>
          <c:spPr>
            <a:solidFill>
              <a:schemeClr val="accent6">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Sheet1!$B$3</c:f>
              <c:numCache>
                <c:formatCode>0%</c:formatCode>
                <c:ptCount val="1"/>
                <c:pt idx="0">
                  <c:v>0.12</c:v>
                </c:pt>
              </c:numCache>
            </c:numRef>
          </c:val>
        </c:ser>
        <c:ser>
          <c:idx val="2"/>
          <c:order val="2"/>
          <c:tx>
            <c:strRef>
              <c:f>Sheet1!$A$4</c:f>
              <c:strCache>
                <c:ptCount val="1"/>
                <c:pt idx="0">
                  <c:v>Contaminated in HH Storage</c:v>
                </c:pt>
              </c:strCache>
            </c:strRef>
          </c:tx>
          <c:spPr>
            <a:solidFill>
              <a:schemeClr val="accent6">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Sheet1!$B$4</c:f>
              <c:numCache>
                <c:formatCode>0%</c:formatCode>
                <c:ptCount val="1"/>
                <c:pt idx="0">
                  <c:v>0.11</c:v>
                </c:pt>
              </c:numCache>
            </c:numRef>
          </c:val>
        </c:ser>
        <c:ser>
          <c:idx val="3"/>
          <c:order val="3"/>
          <c:tx>
            <c:strRef>
              <c:f>Sheet1!$A$5</c:f>
              <c:strCache>
                <c:ptCount val="1"/>
                <c:pt idx="0">
                  <c:v>Uncontaminated at HH</c:v>
                </c:pt>
              </c:strCache>
            </c:strRef>
          </c:tx>
          <c:spPr>
            <a:solidFill>
              <a:schemeClr val="accent3">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Sheet1!$B$5</c:f>
              <c:numCache>
                <c:formatCode>0%</c:formatCode>
                <c:ptCount val="1"/>
                <c:pt idx="0">
                  <c:v>0.32</c:v>
                </c:pt>
              </c:numCache>
            </c:numRef>
          </c:val>
        </c:ser>
        <c:dLbls>
          <c:showLegendKey val="0"/>
          <c:showVal val="0"/>
          <c:showCatName val="0"/>
          <c:showSerName val="0"/>
          <c:showPercent val="0"/>
          <c:showBubbleSize val="0"/>
        </c:dLbls>
        <c:gapWidth val="60"/>
        <c:overlap val="100"/>
        <c:axId val="522647760"/>
        <c:axId val="531211584"/>
      </c:barChart>
      <c:catAx>
        <c:axId val="522647760"/>
        <c:scaling>
          <c:orientation val="minMax"/>
        </c:scaling>
        <c:delete val="1"/>
        <c:axPos val="b"/>
        <c:numFmt formatCode="General" sourceLinked="1"/>
        <c:majorTickMark val="none"/>
        <c:minorTickMark val="none"/>
        <c:tickLblPos val="nextTo"/>
        <c:crossAx val="531211584"/>
        <c:crosses val="autoZero"/>
        <c:auto val="1"/>
        <c:lblAlgn val="ctr"/>
        <c:lblOffset val="100"/>
        <c:noMultiLvlLbl val="0"/>
      </c:catAx>
      <c:valAx>
        <c:axId val="531211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647760"/>
        <c:crosses val="autoZero"/>
        <c:crossBetween val="between"/>
      </c:valAx>
      <c:spPr>
        <a:noFill/>
        <a:ln>
          <a:noFill/>
        </a:ln>
        <a:effectLst/>
      </c:spPr>
    </c:plotArea>
    <c:legend>
      <c:legendPos val="r"/>
      <c:layout>
        <c:manualLayout>
          <c:xMode val="edge"/>
          <c:yMode val="edge"/>
          <c:x val="0.60142283770948868"/>
          <c:y val="0.20738079615048119"/>
          <c:w val="0.37782489251100415"/>
          <c:h val="0.715284339457567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pivotSource>
    <c:name>[Gaza WASH Assessment_raw data_GVC_edited.xlsx]Sheet1!PivotTable30</c:name>
    <c:fmtId val="-1"/>
  </c:pivotSource>
  <c:chart>
    <c:title>
      <c:layout>
        <c:manualLayout>
          <c:xMode val="edge"/>
          <c:yMode val="edge"/>
          <c:x val="0.41718833018213147"/>
          <c:y val="2.7272727272727271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3"/>
          </a:solidFill>
          <a:ln>
            <a:noFill/>
          </a:ln>
          <a:effectLst/>
        </c:spPr>
        <c:marker>
          <c:symbol val="none"/>
        </c:marker>
      </c:pivotFmt>
      <c:pivotFmt>
        <c:idx val="1"/>
        <c:spPr>
          <a:solidFill>
            <a:schemeClr val="accent3"/>
          </a:solidFill>
          <a:ln>
            <a:noFill/>
          </a:ln>
          <a:effectLst/>
        </c:spPr>
        <c:marker>
          <c:symbol val="none"/>
        </c:marker>
      </c:pivotFmt>
      <c:pivotFmt>
        <c:idx val="2"/>
        <c:spPr>
          <a:solidFill>
            <a:schemeClr val="accent3"/>
          </a:solidFill>
          <a:ln>
            <a:noFill/>
          </a:ln>
          <a:effectLst/>
        </c:spPr>
        <c:marker>
          <c:symbol val="none"/>
        </c:marker>
      </c:pivotFmt>
      <c:pivotFmt>
        <c:idx val="3"/>
        <c:spPr>
          <a:solidFill>
            <a:schemeClr val="accent3"/>
          </a:solidFill>
          <a:ln>
            <a:noFill/>
          </a:ln>
          <a:effectLst/>
        </c:spPr>
        <c:marker>
          <c:symbol val="none"/>
        </c:marker>
      </c:pivotFmt>
      <c:pivotFmt>
        <c:idx val="4"/>
        <c:spPr>
          <a:solidFill>
            <a:schemeClr val="accent3"/>
          </a:solidFill>
          <a:ln>
            <a:noFill/>
          </a:ln>
          <a:effectLst/>
        </c:spPr>
        <c:marker>
          <c:symbol val="none"/>
        </c:marker>
      </c:pivotFmt>
      <c:pivotFmt>
        <c:idx val="5"/>
        <c:spPr>
          <a:solidFill>
            <a:schemeClr val="accent3"/>
          </a:solidFill>
          <a:ln>
            <a:noFill/>
          </a:ln>
          <a:effectLst/>
        </c:spPr>
        <c:marker>
          <c:symbol val="none"/>
        </c:marker>
      </c:pivotFmt>
      <c:pivotFmt>
        <c:idx val="6"/>
        <c:spPr>
          <a:solidFill>
            <a:schemeClr val="accent3"/>
          </a:solidFill>
          <a:ln>
            <a:noFill/>
          </a:ln>
          <a:effectLst/>
        </c:spPr>
        <c:marker>
          <c:symbol val="none"/>
        </c:marker>
      </c:pivotFmt>
      <c:pivotFmt>
        <c:idx val="7"/>
        <c:spPr>
          <a:solidFill>
            <a:schemeClr val="accent3"/>
          </a:solidFill>
          <a:ln>
            <a:noFill/>
          </a:ln>
          <a:effectLst/>
        </c:spPr>
        <c:marker>
          <c:symbol val="none"/>
        </c:marker>
      </c:pivotFmt>
      <c:pivotFmt>
        <c:idx val="8"/>
        <c:spPr>
          <a:solidFill>
            <a:schemeClr val="accent3"/>
          </a:solidFill>
          <a:ln>
            <a:noFill/>
          </a:ln>
          <a:effectLst/>
        </c:spPr>
        <c:marker>
          <c:symbol val="none"/>
        </c:marker>
      </c:pivotFmt>
      <c:pivotFmt>
        <c:idx val="9"/>
        <c:spPr>
          <a:solidFill>
            <a:schemeClr val="accent3"/>
          </a:solidFill>
          <a:ln>
            <a:noFill/>
          </a:ln>
          <a:effectLst/>
        </c:spPr>
        <c:marker>
          <c:symbol val="none"/>
        </c:marker>
      </c:pivotFmt>
      <c:pivotFmt>
        <c:idx val="10"/>
        <c:spPr>
          <a:solidFill>
            <a:schemeClr val="accent3"/>
          </a:solidFill>
          <a:ln>
            <a:noFill/>
          </a:ln>
          <a:effectLst/>
        </c:spPr>
        <c:marker>
          <c:symbol val="none"/>
        </c:marker>
      </c:pivotFmt>
      <c:pivotFmt>
        <c:idx val="11"/>
        <c:spPr>
          <a:solidFill>
            <a:schemeClr val="accent3"/>
          </a:solidFill>
          <a:ln>
            <a:noFill/>
          </a:ln>
          <a:effectLst/>
        </c:spPr>
        <c:marker>
          <c:symbol val="none"/>
        </c:marker>
      </c:pivotFmt>
      <c:pivotFmt>
        <c:idx val="12"/>
        <c:spPr>
          <a:solidFill>
            <a:schemeClr val="accent3"/>
          </a:solidFill>
          <a:ln>
            <a:noFill/>
          </a:ln>
          <a:effectLst/>
        </c:spPr>
        <c:marker>
          <c:symbol val="none"/>
        </c:marker>
      </c:pivotFmt>
      <c:pivotFmt>
        <c:idx val="13"/>
        <c:spPr>
          <a:solidFill>
            <a:schemeClr val="accent3"/>
          </a:solidFill>
          <a:ln>
            <a:noFill/>
          </a:ln>
          <a:effectLst/>
        </c:spPr>
        <c:marker>
          <c:symbol val="none"/>
        </c:marker>
      </c:pivotFmt>
      <c:pivotFmt>
        <c:idx val="14"/>
        <c:spPr>
          <a:solidFill>
            <a:schemeClr val="accent3"/>
          </a:solidFill>
          <a:ln>
            <a:noFill/>
          </a:ln>
          <a:effectLst/>
        </c:spPr>
        <c:marker>
          <c:symbol val="none"/>
        </c:marker>
      </c:pivotFmt>
      <c:pivotFmt>
        <c:idx val="15"/>
        <c:spPr>
          <a:solidFill>
            <a:schemeClr val="accent3"/>
          </a:solidFill>
          <a:ln>
            <a:noFill/>
          </a:ln>
          <a:effectLst/>
        </c:spPr>
        <c:marker>
          <c:symbol val="none"/>
        </c:marker>
      </c:pivotFmt>
      <c:pivotFmt>
        <c:idx val="16"/>
        <c:spPr>
          <a:solidFill>
            <a:schemeClr val="accent3"/>
          </a:solidFill>
          <a:ln>
            <a:noFill/>
          </a:ln>
          <a:effectLst/>
        </c:spPr>
        <c:marker>
          <c:symbol val="none"/>
        </c:marker>
      </c:pivotFmt>
      <c:pivotFmt>
        <c:idx val="17"/>
        <c:spPr>
          <a:solidFill>
            <a:schemeClr val="accent3"/>
          </a:solidFill>
          <a:ln>
            <a:noFill/>
          </a:ln>
          <a:effectLst/>
        </c:spPr>
        <c:marker>
          <c:symbol val="none"/>
        </c:marker>
      </c:pivotFmt>
      <c:pivotFmt>
        <c:idx val="18"/>
        <c:spPr>
          <a:solidFill>
            <a:schemeClr val="accent3"/>
          </a:solidFill>
          <a:ln>
            <a:noFill/>
          </a:ln>
          <a:effectLst/>
        </c:spPr>
        <c:marker>
          <c:symbol val="none"/>
        </c:marker>
      </c:pivotFmt>
      <c:pivotFmt>
        <c:idx val="19"/>
        <c:spPr>
          <a:solidFill>
            <a:schemeClr val="accent3"/>
          </a:solidFill>
          <a:ln>
            <a:noFill/>
          </a:ln>
          <a:effectLst/>
        </c:spPr>
        <c:marker>
          <c:symbol val="none"/>
        </c:marker>
      </c:pivotFmt>
      <c:pivotFmt>
        <c:idx val="20"/>
        <c:spPr>
          <a:solidFill>
            <a:schemeClr val="accent3"/>
          </a:solidFill>
          <a:ln>
            <a:noFill/>
          </a:ln>
          <a:effectLst/>
        </c:spPr>
        <c:marker>
          <c:symbol val="none"/>
        </c:marker>
      </c:pivotFmt>
      <c:pivotFmt>
        <c:idx val="21"/>
        <c:spPr>
          <a:solidFill>
            <a:schemeClr val="accent3"/>
          </a:solidFill>
          <a:ln>
            <a:noFill/>
          </a:ln>
          <a:effectLst/>
        </c:spPr>
        <c:marker>
          <c:symbol val="none"/>
        </c:marker>
      </c:pivotFmt>
      <c:pivotFmt>
        <c:idx val="22"/>
        <c:spPr>
          <a:solidFill>
            <a:schemeClr val="accent3"/>
          </a:solidFill>
          <a:ln>
            <a:noFill/>
          </a:ln>
          <a:effectLst/>
        </c:spPr>
        <c:marker>
          <c:symbol val="none"/>
        </c:marker>
      </c:pivotFmt>
      <c:pivotFmt>
        <c:idx val="23"/>
        <c:spPr>
          <a:solidFill>
            <a:schemeClr val="accent3"/>
          </a:solidFill>
          <a:ln>
            <a:noFill/>
          </a:ln>
          <a:effectLst/>
        </c:spPr>
        <c:marker>
          <c:symbol val="none"/>
        </c:marker>
      </c:pivotFmt>
    </c:pivotFmts>
    <c:plotArea>
      <c:layout>
        <c:manualLayout>
          <c:layoutTarget val="inner"/>
          <c:xMode val="edge"/>
          <c:yMode val="edge"/>
          <c:x val="0.20061265899454875"/>
          <c:y val="0.18572727272727274"/>
          <c:w val="0.62239127801332528"/>
          <c:h val="0.63065211166785973"/>
        </c:manualLayout>
      </c:layout>
      <c:barChart>
        <c:barDir val="bar"/>
        <c:grouping val="percentStacked"/>
        <c:varyColors val="0"/>
        <c:ser>
          <c:idx val="0"/>
          <c:order val="0"/>
          <c:tx>
            <c:strRef>
              <c:f>Sheet1!$B$107:$B$108</c:f>
              <c:strCache>
                <c:ptCount val="1"/>
                <c:pt idx="0">
                  <c:v>1-25</c:v>
                </c:pt>
              </c:strCache>
            </c:strRef>
          </c:tx>
          <c:spPr>
            <a:solidFill>
              <a:schemeClr val="accent3">
                <a:tint val="46000"/>
              </a:schemeClr>
            </a:solidFill>
            <a:ln>
              <a:noFill/>
            </a:ln>
            <a:effectLst/>
          </c:spPr>
          <c:invertIfNegative val="0"/>
          <c:cat>
            <c:strRef>
              <c:f>Sheet1!$A$109:$A$114</c:f>
              <c:strCache>
                <c:ptCount val="5"/>
                <c:pt idx="0">
                  <c:v>Rafah</c:v>
                </c:pt>
                <c:pt idx="1">
                  <c:v>Khanyounis</c:v>
                </c:pt>
                <c:pt idx="2">
                  <c:v>Middle</c:v>
                </c:pt>
                <c:pt idx="3">
                  <c:v>Gaza</c:v>
                </c:pt>
                <c:pt idx="4">
                  <c:v>North</c:v>
                </c:pt>
              </c:strCache>
            </c:strRef>
          </c:cat>
          <c:val>
            <c:numRef>
              <c:f>Sheet1!$B$109:$B$114</c:f>
              <c:numCache>
                <c:formatCode>General</c:formatCode>
                <c:ptCount val="5"/>
                <c:pt idx="0">
                  <c:v>141</c:v>
                </c:pt>
                <c:pt idx="1">
                  <c:v>257</c:v>
                </c:pt>
                <c:pt idx="2">
                  <c:v>62</c:v>
                </c:pt>
                <c:pt idx="3">
                  <c:v>130</c:v>
                </c:pt>
                <c:pt idx="4">
                  <c:v>115</c:v>
                </c:pt>
              </c:numCache>
            </c:numRef>
          </c:val>
        </c:ser>
        <c:ser>
          <c:idx val="1"/>
          <c:order val="1"/>
          <c:tx>
            <c:strRef>
              <c:f>Sheet1!$C$107:$C$108</c:f>
              <c:strCache>
                <c:ptCount val="1"/>
                <c:pt idx="0">
                  <c:v>26-50</c:v>
                </c:pt>
              </c:strCache>
            </c:strRef>
          </c:tx>
          <c:spPr>
            <a:solidFill>
              <a:schemeClr val="accent3">
                <a:tint val="62000"/>
              </a:schemeClr>
            </a:solidFill>
            <a:ln>
              <a:noFill/>
            </a:ln>
            <a:effectLst/>
          </c:spPr>
          <c:invertIfNegative val="0"/>
          <c:cat>
            <c:strRef>
              <c:f>Sheet1!$A$109:$A$114</c:f>
              <c:strCache>
                <c:ptCount val="5"/>
                <c:pt idx="0">
                  <c:v>Rafah</c:v>
                </c:pt>
                <c:pt idx="1">
                  <c:v>Khanyounis</c:v>
                </c:pt>
                <c:pt idx="2">
                  <c:v>Middle</c:v>
                </c:pt>
                <c:pt idx="3">
                  <c:v>Gaza</c:v>
                </c:pt>
                <c:pt idx="4">
                  <c:v>North</c:v>
                </c:pt>
              </c:strCache>
            </c:strRef>
          </c:cat>
          <c:val>
            <c:numRef>
              <c:f>Sheet1!$C$109:$C$114</c:f>
              <c:numCache>
                <c:formatCode>General</c:formatCode>
                <c:ptCount val="5"/>
                <c:pt idx="0">
                  <c:v>27</c:v>
                </c:pt>
                <c:pt idx="1">
                  <c:v>91</c:v>
                </c:pt>
                <c:pt idx="2">
                  <c:v>6</c:v>
                </c:pt>
                <c:pt idx="3">
                  <c:v>13</c:v>
                </c:pt>
                <c:pt idx="4">
                  <c:v>25</c:v>
                </c:pt>
              </c:numCache>
            </c:numRef>
          </c:val>
        </c:ser>
        <c:ser>
          <c:idx val="2"/>
          <c:order val="2"/>
          <c:tx>
            <c:strRef>
              <c:f>Sheet1!$D$107:$D$108</c:f>
              <c:strCache>
                <c:ptCount val="1"/>
                <c:pt idx="0">
                  <c:v>51-100</c:v>
                </c:pt>
              </c:strCache>
            </c:strRef>
          </c:tx>
          <c:spPr>
            <a:solidFill>
              <a:schemeClr val="accent3">
                <a:tint val="77000"/>
              </a:schemeClr>
            </a:solidFill>
            <a:ln>
              <a:noFill/>
            </a:ln>
            <a:effectLst/>
          </c:spPr>
          <c:invertIfNegative val="0"/>
          <c:cat>
            <c:strRef>
              <c:f>Sheet1!$A$109:$A$114</c:f>
              <c:strCache>
                <c:ptCount val="5"/>
                <c:pt idx="0">
                  <c:v>Rafah</c:v>
                </c:pt>
                <c:pt idx="1">
                  <c:v>Khanyounis</c:v>
                </c:pt>
                <c:pt idx="2">
                  <c:v>Middle</c:v>
                </c:pt>
                <c:pt idx="3">
                  <c:v>Gaza</c:v>
                </c:pt>
                <c:pt idx="4">
                  <c:v>North</c:v>
                </c:pt>
              </c:strCache>
            </c:strRef>
          </c:cat>
          <c:val>
            <c:numRef>
              <c:f>Sheet1!$D$109:$D$114</c:f>
              <c:numCache>
                <c:formatCode>General</c:formatCode>
                <c:ptCount val="5"/>
                <c:pt idx="0">
                  <c:v>15</c:v>
                </c:pt>
                <c:pt idx="1">
                  <c:v>12</c:v>
                </c:pt>
                <c:pt idx="2">
                  <c:v>11</c:v>
                </c:pt>
                <c:pt idx="3">
                  <c:v>19</c:v>
                </c:pt>
                <c:pt idx="4">
                  <c:v>19</c:v>
                </c:pt>
              </c:numCache>
            </c:numRef>
          </c:val>
        </c:ser>
        <c:ser>
          <c:idx val="3"/>
          <c:order val="3"/>
          <c:tx>
            <c:strRef>
              <c:f>Sheet1!$E$107:$E$108</c:f>
              <c:strCache>
                <c:ptCount val="1"/>
                <c:pt idx="0">
                  <c:v>101-200</c:v>
                </c:pt>
              </c:strCache>
            </c:strRef>
          </c:tx>
          <c:spPr>
            <a:solidFill>
              <a:schemeClr val="accent3">
                <a:tint val="93000"/>
              </a:schemeClr>
            </a:solidFill>
            <a:ln>
              <a:noFill/>
            </a:ln>
            <a:effectLst/>
          </c:spPr>
          <c:invertIfNegative val="0"/>
          <c:cat>
            <c:strRef>
              <c:f>Sheet1!$A$109:$A$114</c:f>
              <c:strCache>
                <c:ptCount val="5"/>
                <c:pt idx="0">
                  <c:v>Rafah</c:v>
                </c:pt>
                <c:pt idx="1">
                  <c:v>Khanyounis</c:v>
                </c:pt>
                <c:pt idx="2">
                  <c:v>Middle</c:v>
                </c:pt>
                <c:pt idx="3">
                  <c:v>Gaza</c:v>
                </c:pt>
                <c:pt idx="4">
                  <c:v>North</c:v>
                </c:pt>
              </c:strCache>
            </c:strRef>
          </c:cat>
          <c:val>
            <c:numRef>
              <c:f>Sheet1!$E$109:$E$114</c:f>
              <c:numCache>
                <c:formatCode>General</c:formatCode>
                <c:ptCount val="5"/>
                <c:pt idx="0">
                  <c:v>42</c:v>
                </c:pt>
                <c:pt idx="1">
                  <c:v>17</c:v>
                </c:pt>
                <c:pt idx="2">
                  <c:v>53</c:v>
                </c:pt>
                <c:pt idx="3">
                  <c:v>104</c:v>
                </c:pt>
                <c:pt idx="4">
                  <c:v>149</c:v>
                </c:pt>
              </c:numCache>
            </c:numRef>
          </c:val>
        </c:ser>
        <c:ser>
          <c:idx val="4"/>
          <c:order val="4"/>
          <c:tx>
            <c:strRef>
              <c:f>Sheet1!$F$107:$F$108</c:f>
              <c:strCache>
                <c:ptCount val="1"/>
                <c:pt idx="0">
                  <c:v>201-400</c:v>
                </c:pt>
              </c:strCache>
            </c:strRef>
          </c:tx>
          <c:spPr>
            <a:solidFill>
              <a:schemeClr val="accent3">
                <a:shade val="92000"/>
              </a:schemeClr>
            </a:solidFill>
            <a:ln>
              <a:noFill/>
            </a:ln>
            <a:effectLst/>
          </c:spPr>
          <c:invertIfNegative val="0"/>
          <c:cat>
            <c:strRef>
              <c:f>Sheet1!$A$109:$A$114</c:f>
              <c:strCache>
                <c:ptCount val="5"/>
                <c:pt idx="0">
                  <c:v>Rafah</c:v>
                </c:pt>
                <c:pt idx="1">
                  <c:v>Khanyounis</c:v>
                </c:pt>
                <c:pt idx="2">
                  <c:v>Middle</c:v>
                </c:pt>
                <c:pt idx="3">
                  <c:v>Gaza</c:v>
                </c:pt>
                <c:pt idx="4">
                  <c:v>North</c:v>
                </c:pt>
              </c:strCache>
            </c:strRef>
          </c:cat>
          <c:val>
            <c:numRef>
              <c:f>Sheet1!$F$109:$F$114</c:f>
              <c:numCache>
                <c:formatCode>General</c:formatCode>
                <c:ptCount val="5"/>
                <c:pt idx="0">
                  <c:v>114</c:v>
                </c:pt>
                <c:pt idx="1">
                  <c:v>103</c:v>
                </c:pt>
                <c:pt idx="2">
                  <c:v>129</c:v>
                </c:pt>
                <c:pt idx="3">
                  <c:v>288</c:v>
                </c:pt>
                <c:pt idx="4">
                  <c:v>197</c:v>
                </c:pt>
              </c:numCache>
            </c:numRef>
          </c:val>
        </c:ser>
        <c:ser>
          <c:idx val="5"/>
          <c:order val="5"/>
          <c:tx>
            <c:strRef>
              <c:f>Sheet1!$G$107:$G$108</c:f>
              <c:strCache>
                <c:ptCount val="1"/>
                <c:pt idx="0">
                  <c:v>401-500</c:v>
                </c:pt>
              </c:strCache>
            </c:strRef>
          </c:tx>
          <c:spPr>
            <a:solidFill>
              <a:schemeClr val="accent3">
                <a:shade val="76000"/>
              </a:schemeClr>
            </a:solidFill>
            <a:ln>
              <a:noFill/>
            </a:ln>
            <a:effectLst/>
          </c:spPr>
          <c:invertIfNegative val="0"/>
          <c:cat>
            <c:strRef>
              <c:f>Sheet1!$A$109:$A$114</c:f>
              <c:strCache>
                <c:ptCount val="5"/>
                <c:pt idx="0">
                  <c:v>Rafah</c:v>
                </c:pt>
                <c:pt idx="1">
                  <c:v>Khanyounis</c:v>
                </c:pt>
                <c:pt idx="2">
                  <c:v>Middle</c:v>
                </c:pt>
                <c:pt idx="3">
                  <c:v>Gaza</c:v>
                </c:pt>
                <c:pt idx="4">
                  <c:v>North</c:v>
                </c:pt>
              </c:strCache>
            </c:strRef>
          </c:cat>
          <c:val>
            <c:numRef>
              <c:f>Sheet1!$G$109:$G$114</c:f>
              <c:numCache>
                <c:formatCode>General</c:formatCode>
                <c:ptCount val="5"/>
                <c:pt idx="0">
                  <c:v>166</c:v>
                </c:pt>
                <c:pt idx="1">
                  <c:v>92</c:v>
                </c:pt>
                <c:pt idx="2">
                  <c:v>137</c:v>
                </c:pt>
                <c:pt idx="3">
                  <c:v>301</c:v>
                </c:pt>
                <c:pt idx="4">
                  <c:v>138</c:v>
                </c:pt>
              </c:numCache>
            </c:numRef>
          </c:val>
        </c:ser>
        <c:ser>
          <c:idx val="6"/>
          <c:order val="6"/>
          <c:tx>
            <c:strRef>
              <c:f>Sheet1!$H$107:$H$108</c:f>
              <c:strCache>
                <c:ptCount val="1"/>
                <c:pt idx="0">
                  <c:v>501-1000</c:v>
                </c:pt>
              </c:strCache>
            </c:strRef>
          </c:tx>
          <c:spPr>
            <a:solidFill>
              <a:schemeClr val="accent3">
                <a:shade val="61000"/>
              </a:schemeClr>
            </a:solidFill>
            <a:ln>
              <a:noFill/>
            </a:ln>
            <a:effectLst/>
          </c:spPr>
          <c:invertIfNegative val="0"/>
          <c:cat>
            <c:strRef>
              <c:f>Sheet1!$A$109:$A$114</c:f>
              <c:strCache>
                <c:ptCount val="5"/>
                <c:pt idx="0">
                  <c:v>Rafah</c:v>
                </c:pt>
                <c:pt idx="1">
                  <c:v>Khanyounis</c:v>
                </c:pt>
                <c:pt idx="2">
                  <c:v>Middle</c:v>
                </c:pt>
                <c:pt idx="3">
                  <c:v>Gaza</c:v>
                </c:pt>
                <c:pt idx="4">
                  <c:v>North</c:v>
                </c:pt>
              </c:strCache>
            </c:strRef>
          </c:cat>
          <c:val>
            <c:numRef>
              <c:f>Sheet1!$H$109:$H$114</c:f>
              <c:numCache>
                <c:formatCode>General</c:formatCode>
                <c:ptCount val="5"/>
                <c:pt idx="0">
                  <c:v>28</c:v>
                </c:pt>
                <c:pt idx="1">
                  <c:v>40</c:v>
                </c:pt>
                <c:pt idx="2">
                  <c:v>34</c:v>
                </c:pt>
                <c:pt idx="3">
                  <c:v>43</c:v>
                </c:pt>
                <c:pt idx="4">
                  <c:v>23</c:v>
                </c:pt>
              </c:numCache>
            </c:numRef>
          </c:val>
        </c:ser>
        <c:ser>
          <c:idx val="7"/>
          <c:order val="7"/>
          <c:tx>
            <c:strRef>
              <c:f>Sheet1!$I$107:$I$108</c:f>
              <c:strCache>
                <c:ptCount val="1"/>
                <c:pt idx="0">
                  <c:v>1000+</c:v>
                </c:pt>
              </c:strCache>
            </c:strRef>
          </c:tx>
          <c:spPr>
            <a:solidFill>
              <a:schemeClr val="accent3">
                <a:shade val="45000"/>
              </a:schemeClr>
            </a:solidFill>
            <a:ln>
              <a:noFill/>
            </a:ln>
            <a:effectLst/>
          </c:spPr>
          <c:invertIfNegative val="0"/>
          <c:cat>
            <c:strRef>
              <c:f>Sheet1!$A$109:$A$114</c:f>
              <c:strCache>
                <c:ptCount val="5"/>
                <c:pt idx="0">
                  <c:v>Rafah</c:v>
                </c:pt>
                <c:pt idx="1">
                  <c:v>Khanyounis</c:v>
                </c:pt>
                <c:pt idx="2">
                  <c:v>Middle</c:v>
                </c:pt>
                <c:pt idx="3">
                  <c:v>Gaza</c:v>
                </c:pt>
                <c:pt idx="4">
                  <c:v>North</c:v>
                </c:pt>
              </c:strCache>
            </c:strRef>
          </c:cat>
          <c:val>
            <c:numRef>
              <c:f>Sheet1!$I$109:$I$114</c:f>
              <c:numCache>
                <c:formatCode>General</c:formatCode>
                <c:ptCount val="5"/>
                <c:pt idx="1">
                  <c:v>5</c:v>
                </c:pt>
                <c:pt idx="2">
                  <c:v>2</c:v>
                </c:pt>
                <c:pt idx="3">
                  <c:v>8</c:v>
                </c:pt>
                <c:pt idx="4">
                  <c:v>10</c:v>
                </c:pt>
              </c:numCache>
            </c:numRef>
          </c:val>
        </c:ser>
        <c:dLbls>
          <c:showLegendKey val="0"/>
          <c:showVal val="0"/>
          <c:showCatName val="0"/>
          <c:showSerName val="0"/>
          <c:showPercent val="0"/>
          <c:showBubbleSize val="0"/>
        </c:dLbls>
        <c:gapWidth val="50"/>
        <c:overlap val="100"/>
        <c:axId val="531212760"/>
        <c:axId val="531215504"/>
      </c:barChart>
      <c:catAx>
        <c:axId val="531212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215504"/>
        <c:crosses val="autoZero"/>
        <c:auto val="1"/>
        <c:lblAlgn val="ctr"/>
        <c:lblOffset val="100"/>
        <c:noMultiLvlLbl val="0"/>
      </c:catAx>
      <c:valAx>
        <c:axId val="5312155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212760"/>
        <c:crosses val="autoZero"/>
        <c:crossBetween val="between"/>
        <c:majorUnit val="0.2"/>
      </c:valAx>
      <c:spPr>
        <a:noFill/>
        <a:ln>
          <a:noFill/>
        </a:ln>
        <a:effectLst/>
      </c:spPr>
    </c:plotArea>
    <c:legend>
      <c:legendPos val="r"/>
      <c:layout>
        <c:manualLayout>
          <c:xMode val="edge"/>
          <c:yMode val="edge"/>
          <c:x val="0.83961871592973958"/>
          <c:y val="7.6952040085898357E-2"/>
          <c:w val="0.15368259818586508"/>
          <c:h val="0.8318224767358624"/>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pivotSource>
    <c:name>[Gaza WASH Assessment_raw data_GVC_edited.xlsx]Sheet1!PivotTable33</c:name>
    <c:fmtId val="-1"/>
  </c:pivotSource>
  <c:chart>
    <c:title>
      <c:layout>
        <c:manualLayout>
          <c:xMode val="edge"/>
          <c:yMode val="edge"/>
          <c:x val="0.42086194554834255"/>
          <c:y val="2.985074626865671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3"/>
          </a:solidFill>
          <a:ln>
            <a:noFill/>
          </a:ln>
          <a:effectLst/>
        </c:spPr>
        <c:marker>
          <c:symbol val="none"/>
        </c:marker>
      </c:pivotFmt>
      <c:pivotFmt>
        <c:idx val="1"/>
        <c:spPr>
          <a:solidFill>
            <a:schemeClr val="accent3"/>
          </a:solidFill>
          <a:ln>
            <a:noFill/>
          </a:ln>
          <a:effectLst/>
        </c:spPr>
        <c:marker>
          <c:symbol val="none"/>
        </c:marker>
      </c:pivotFmt>
      <c:pivotFmt>
        <c:idx val="2"/>
        <c:spPr>
          <a:solidFill>
            <a:schemeClr val="accent3"/>
          </a:solidFill>
          <a:ln>
            <a:noFill/>
          </a:ln>
          <a:effectLst/>
        </c:spPr>
        <c:marker>
          <c:symbol val="none"/>
        </c:marker>
      </c:pivotFmt>
      <c:pivotFmt>
        <c:idx val="3"/>
        <c:spPr>
          <a:solidFill>
            <a:schemeClr val="accent3"/>
          </a:solidFill>
          <a:ln>
            <a:noFill/>
          </a:ln>
          <a:effectLst/>
        </c:spPr>
        <c:marker>
          <c:symbol val="none"/>
        </c:marker>
      </c:pivotFmt>
      <c:pivotFmt>
        <c:idx val="4"/>
        <c:spPr>
          <a:solidFill>
            <a:schemeClr val="accent3"/>
          </a:solidFill>
          <a:ln>
            <a:noFill/>
          </a:ln>
          <a:effectLst/>
        </c:spPr>
        <c:marker>
          <c:symbol val="none"/>
        </c:marker>
      </c:pivotFmt>
      <c:pivotFmt>
        <c:idx val="5"/>
        <c:spPr>
          <a:solidFill>
            <a:schemeClr val="accent3"/>
          </a:solidFill>
          <a:ln>
            <a:noFill/>
          </a:ln>
          <a:effectLst/>
        </c:spPr>
        <c:marker>
          <c:symbol val="none"/>
        </c:marker>
      </c:pivotFmt>
      <c:pivotFmt>
        <c:idx val="6"/>
        <c:spPr>
          <a:solidFill>
            <a:schemeClr val="accent3"/>
          </a:solidFill>
          <a:ln>
            <a:noFill/>
          </a:ln>
          <a:effectLst/>
        </c:spPr>
        <c:marker>
          <c:symbol val="none"/>
        </c:marker>
      </c:pivotFmt>
      <c:pivotFmt>
        <c:idx val="7"/>
        <c:spPr>
          <a:solidFill>
            <a:schemeClr val="accent3"/>
          </a:solidFill>
          <a:ln>
            <a:noFill/>
          </a:ln>
          <a:effectLst/>
        </c:spPr>
        <c:marker>
          <c:symbol val="none"/>
        </c:marker>
      </c:pivotFmt>
      <c:pivotFmt>
        <c:idx val="8"/>
        <c:spPr>
          <a:solidFill>
            <a:schemeClr val="accent3"/>
          </a:solidFill>
          <a:ln>
            <a:noFill/>
          </a:ln>
          <a:effectLst/>
        </c:spPr>
        <c:marker>
          <c:symbol val="none"/>
        </c:marker>
      </c:pivotFmt>
      <c:pivotFmt>
        <c:idx val="9"/>
        <c:spPr>
          <a:solidFill>
            <a:schemeClr val="accent3"/>
          </a:solidFill>
          <a:ln>
            <a:noFill/>
          </a:ln>
          <a:effectLst/>
        </c:spPr>
        <c:marker>
          <c:symbol val="none"/>
        </c:marker>
      </c:pivotFmt>
      <c:pivotFmt>
        <c:idx val="10"/>
        <c:spPr>
          <a:solidFill>
            <a:schemeClr val="accent3"/>
          </a:solidFill>
          <a:ln>
            <a:noFill/>
          </a:ln>
          <a:effectLst/>
        </c:spPr>
        <c:marker>
          <c:symbol val="none"/>
        </c:marker>
      </c:pivotFmt>
      <c:pivotFmt>
        <c:idx val="11"/>
        <c:spPr>
          <a:solidFill>
            <a:schemeClr val="accent3"/>
          </a:solidFill>
          <a:ln>
            <a:noFill/>
          </a:ln>
          <a:effectLst/>
        </c:spPr>
        <c:marker>
          <c:symbol val="none"/>
        </c:marker>
      </c:pivotFmt>
      <c:pivotFmt>
        <c:idx val="12"/>
        <c:spPr>
          <a:solidFill>
            <a:schemeClr val="accent3"/>
          </a:solidFill>
          <a:ln>
            <a:noFill/>
          </a:ln>
          <a:effectLst/>
        </c:spPr>
        <c:marker>
          <c:symbol val="none"/>
        </c:marker>
      </c:pivotFmt>
      <c:pivotFmt>
        <c:idx val="13"/>
        <c:spPr>
          <a:solidFill>
            <a:schemeClr val="accent3"/>
          </a:solidFill>
          <a:ln>
            <a:noFill/>
          </a:ln>
          <a:effectLst/>
        </c:spPr>
        <c:marker>
          <c:symbol val="none"/>
        </c:marker>
      </c:pivotFmt>
      <c:pivotFmt>
        <c:idx val="14"/>
        <c:spPr>
          <a:solidFill>
            <a:schemeClr val="accent3"/>
          </a:solidFill>
          <a:ln>
            <a:noFill/>
          </a:ln>
          <a:effectLst/>
        </c:spPr>
        <c:marker>
          <c:symbol val="none"/>
        </c:marker>
      </c:pivotFmt>
      <c:pivotFmt>
        <c:idx val="15"/>
        <c:spPr>
          <a:solidFill>
            <a:schemeClr val="accent3"/>
          </a:solidFill>
          <a:ln>
            <a:noFill/>
          </a:ln>
          <a:effectLst/>
        </c:spPr>
        <c:marker>
          <c:symbol val="none"/>
        </c:marker>
      </c:pivotFmt>
      <c:pivotFmt>
        <c:idx val="16"/>
        <c:spPr>
          <a:solidFill>
            <a:schemeClr val="accent3"/>
          </a:solidFill>
          <a:ln>
            <a:noFill/>
          </a:ln>
          <a:effectLst/>
        </c:spPr>
        <c:marker>
          <c:symbol val="none"/>
        </c:marker>
      </c:pivotFmt>
      <c:pivotFmt>
        <c:idx val="17"/>
        <c:spPr>
          <a:solidFill>
            <a:schemeClr val="accent3"/>
          </a:solidFill>
          <a:ln>
            <a:noFill/>
          </a:ln>
          <a:effectLst/>
        </c:spPr>
        <c:marker>
          <c:symbol val="none"/>
        </c:marker>
      </c:pivotFmt>
      <c:pivotFmt>
        <c:idx val="18"/>
        <c:spPr>
          <a:solidFill>
            <a:schemeClr val="accent3"/>
          </a:solidFill>
          <a:ln>
            <a:noFill/>
          </a:ln>
          <a:effectLst/>
        </c:spPr>
        <c:marker>
          <c:symbol val="none"/>
        </c:marker>
      </c:pivotFmt>
      <c:pivotFmt>
        <c:idx val="19"/>
        <c:spPr>
          <a:solidFill>
            <a:schemeClr val="accent3"/>
          </a:solidFill>
          <a:ln>
            <a:noFill/>
          </a:ln>
          <a:effectLst/>
        </c:spPr>
        <c:marker>
          <c:symbol val="none"/>
        </c:marker>
      </c:pivotFmt>
      <c:pivotFmt>
        <c:idx val="20"/>
        <c:spPr>
          <a:solidFill>
            <a:schemeClr val="accent3"/>
          </a:solidFill>
          <a:ln>
            <a:noFill/>
          </a:ln>
          <a:effectLst/>
        </c:spPr>
        <c:marker>
          <c:symbol val="none"/>
        </c:marker>
      </c:pivotFmt>
      <c:pivotFmt>
        <c:idx val="21"/>
        <c:spPr>
          <a:solidFill>
            <a:schemeClr val="accent3"/>
          </a:solidFill>
          <a:ln>
            <a:noFill/>
          </a:ln>
          <a:effectLst/>
        </c:spPr>
        <c:marker>
          <c:symbol val="none"/>
        </c:marker>
      </c:pivotFmt>
      <c:pivotFmt>
        <c:idx val="22"/>
        <c:spPr>
          <a:solidFill>
            <a:schemeClr val="accent3"/>
          </a:solidFill>
          <a:ln>
            <a:noFill/>
          </a:ln>
          <a:effectLst/>
        </c:spPr>
        <c:marker>
          <c:symbol val="none"/>
        </c:marker>
      </c:pivotFmt>
      <c:pivotFmt>
        <c:idx val="23"/>
        <c:spPr>
          <a:solidFill>
            <a:schemeClr val="accent3"/>
          </a:solidFill>
          <a:ln>
            <a:noFill/>
          </a:ln>
          <a:effectLst/>
        </c:spPr>
        <c:marker>
          <c:symbol val="none"/>
        </c:marker>
      </c:pivotFmt>
    </c:pivotFmts>
    <c:plotArea>
      <c:layout>
        <c:manualLayout>
          <c:layoutTarget val="inner"/>
          <c:xMode val="edge"/>
          <c:yMode val="edge"/>
          <c:x val="0.15175277071557278"/>
          <c:y val="0.25303482587064674"/>
          <c:w val="0.6300169333672001"/>
          <c:h val="0.51613663963646339"/>
        </c:manualLayout>
      </c:layout>
      <c:barChart>
        <c:barDir val="bar"/>
        <c:grouping val="percentStacked"/>
        <c:varyColors val="0"/>
        <c:ser>
          <c:idx val="0"/>
          <c:order val="0"/>
          <c:tx>
            <c:strRef>
              <c:f>Sheet1!$AT$107:$AT$108</c:f>
              <c:strCache>
                <c:ptCount val="1"/>
                <c:pt idx="0">
                  <c:v>1-25</c:v>
                </c:pt>
              </c:strCache>
            </c:strRef>
          </c:tx>
          <c:spPr>
            <a:solidFill>
              <a:schemeClr val="accent3">
                <a:tint val="46000"/>
              </a:schemeClr>
            </a:solidFill>
            <a:ln>
              <a:noFill/>
            </a:ln>
            <a:effectLst/>
          </c:spPr>
          <c:invertIfNegative val="0"/>
          <c:cat>
            <c:strRef>
              <c:f>Sheet1!$AS$109:$AS$111</c:f>
              <c:strCache>
                <c:ptCount val="2"/>
                <c:pt idx="0">
                  <c:v>Male-headed</c:v>
                </c:pt>
                <c:pt idx="1">
                  <c:v>Female-headed</c:v>
                </c:pt>
              </c:strCache>
            </c:strRef>
          </c:cat>
          <c:val>
            <c:numRef>
              <c:f>Sheet1!$AT$109:$AT$111</c:f>
              <c:numCache>
                <c:formatCode>General</c:formatCode>
                <c:ptCount val="2"/>
                <c:pt idx="0">
                  <c:v>620</c:v>
                </c:pt>
                <c:pt idx="1">
                  <c:v>85</c:v>
                </c:pt>
              </c:numCache>
            </c:numRef>
          </c:val>
        </c:ser>
        <c:ser>
          <c:idx val="1"/>
          <c:order val="1"/>
          <c:tx>
            <c:strRef>
              <c:f>Sheet1!$AU$107:$AU$108</c:f>
              <c:strCache>
                <c:ptCount val="1"/>
                <c:pt idx="0">
                  <c:v>26-50</c:v>
                </c:pt>
              </c:strCache>
            </c:strRef>
          </c:tx>
          <c:spPr>
            <a:solidFill>
              <a:schemeClr val="accent3">
                <a:tint val="62000"/>
              </a:schemeClr>
            </a:solidFill>
            <a:ln>
              <a:noFill/>
            </a:ln>
            <a:effectLst/>
          </c:spPr>
          <c:invertIfNegative val="0"/>
          <c:cat>
            <c:strRef>
              <c:f>Sheet1!$AS$109:$AS$111</c:f>
              <c:strCache>
                <c:ptCount val="2"/>
                <c:pt idx="0">
                  <c:v>Male-headed</c:v>
                </c:pt>
                <c:pt idx="1">
                  <c:v>Female-headed</c:v>
                </c:pt>
              </c:strCache>
            </c:strRef>
          </c:cat>
          <c:val>
            <c:numRef>
              <c:f>Sheet1!$AU$109:$AU$111</c:f>
              <c:numCache>
                <c:formatCode>General</c:formatCode>
                <c:ptCount val="2"/>
                <c:pt idx="0">
                  <c:v>148</c:v>
                </c:pt>
                <c:pt idx="1">
                  <c:v>14</c:v>
                </c:pt>
              </c:numCache>
            </c:numRef>
          </c:val>
        </c:ser>
        <c:ser>
          <c:idx val="2"/>
          <c:order val="2"/>
          <c:tx>
            <c:strRef>
              <c:f>Sheet1!$AV$107:$AV$108</c:f>
              <c:strCache>
                <c:ptCount val="1"/>
                <c:pt idx="0">
                  <c:v>51-100</c:v>
                </c:pt>
              </c:strCache>
            </c:strRef>
          </c:tx>
          <c:spPr>
            <a:solidFill>
              <a:schemeClr val="accent3">
                <a:tint val="77000"/>
              </a:schemeClr>
            </a:solidFill>
            <a:ln>
              <a:noFill/>
            </a:ln>
            <a:effectLst/>
          </c:spPr>
          <c:invertIfNegative val="0"/>
          <c:cat>
            <c:strRef>
              <c:f>Sheet1!$AS$109:$AS$111</c:f>
              <c:strCache>
                <c:ptCount val="2"/>
                <c:pt idx="0">
                  <c:v>Male-headed</c:v>
                </c:pt>
                <c:pt idx="1">
                  <c:v>Female-headed</c:v>
                </c:pt>
              </c:strCache>
            </c:strRef>
          </c:cat>
          <c:val>
            <c:numRef>
              <c:f>Sheet1!$AV$109:$AV$111</c:f>
              <c:numCache>
                <c:formatCode>General</c:formatCode>
                <c:ptCount val="2"/>
                <c:pt idx="0">
                  <c:v>65</c:v>
                </c:pt>
                <c:pt idx="1">
                  <c:v>11</c:v>
                </c:pt>
              </c:numCache>
            </c:numRef>
          </c:val>
        </c:ser>
        <c:ser>
          <c:idx val="3"/>
          <c:order val="3"/>
          <c:tx>
            <c:strRef>
              <c:f>Sheet1!$AW$107:$AW$108</c:f>
              <c:strCache>
                <c:ptCount val="1"/>
                <c:pt idx="0">
                  <c:v>101-200</c:v>
                </c:pt>
              </c:strCache>
            </c:strRef>
          </c:tx>
          <c:spPr>
            <a:solidFill>
              <a:schemeClr val="accent3">
                <a:tint val="93000"/>
              </a:schemeClr>
            </a:solidFill>
            <a:ln>
              <a:noFill/>
            </a:ln>
            <a:effectLst/>
          </c:spPr>
          <c:invertIfNegative val="0"/>
          <c:cat>
            <c:strRef>
              <c:f>Sheet1!$AS$109:$AS$111</c:f>
              <c:strCache>
                <c:ptCount val="2"/>
                <c:pt idx="0">
                  <c:v>Male-headed</c:v>
                </c:pt>
                <c:pt idx="1">
                  <c:v>Female-headed</c:v>
                </c:pt>
              </c:strCache>
            </c:strRef>
          </c:cat>
          <c:val>
            <c:numRef>
              <c:f>Sheet1!$AW$109:$AW$111</c:f>
              <c:numCache>
                <c:formatCode>General</c:formatCode>
                <c:ptCount val="2"/>
                <c:pt idx="0">
                  <c:v>327</c:v>
                </c:pt>
                <c:pt idx="1">
                  <c:v>38</c:v>
                </c:pt>
              </c:numCache>
            </c:numRef>
          </c:val>
        </c:ser>
        <c:ser>
          <c:idx val="4"/>
          <c:order val="4"/>
          <c:tx>
            <c:strRef>
              <c:f>Sheet1!$AX$107:$AX$108</c:f>
              <c:strCache>
                <c:ptCount val="1"/>
                <c:pt idx="0">
                  <c:v>201-400</c:v>
                </c:pt>
              </c:strCache>
            </c:strRef>
          </c:tx>
          <c:spPr>
            <a:solidFill>
              <a:schemeClr val="accent3">
                <a:shade val="92000"/>
              </a:schemeClr>
            </a:solidFill>
            <a:ln>
              <a:noFill/>
            </a:ln>
            <a:effectLst/>
          </c:spPr>
          <c:invertIfNegative val="0"/>
          <c:cat>
            <c:strRef>
              <c:f>Sheet1!$AS$109:$AS$111</c:f>
              <c:strCache>
                <c:ptCount val="2"/>
                <c:pt idx="0">
                  <c:v>Male-headed</c:v>
                </c:pt>
                <c:pt idx="1">
                  <c:v>Female-headed</c:v>
                </c:pt>
              </c:strCache>
            </c:strRef>
          </c:cat>
          <c:val>
            <c:numRef>
              <c:f>Sheet1!$AX$109:$AX$111</c:f>
              <c:numCache>
                <c:formatCode>General</c:formatCode>
                <c:ptCount val="2"/>
                <c:pt idx="0">
                  <c:v>745</c:v>
                </c:pt>
                <c:pt idx="1">
                  <c:v>86</c:v>
                </c:pt>
              </c:numCache>
            </c:numRef>
          </c:val>
        </c:ser>
        <c:ser>
          <c:idx val="5"/>
          <c:order val="5"/>
          <c:tx>
            <c:strRef>
              <c:f>Sheet1!$AY$107:$AY$108</c:f>
              <c:strCache>
                <c:ptCount val="1"/>
                <c:pt idx="0">
                  <c:v>401-500</c:v>
                </c:pt>
              </c:strCache>
            </c:strRef>
          </c:tx>
          <c:spPr>
            <a:solidFill>
              <a:schemeClr val="accent3">
                <a:shade val="76000"/>
              </a:schemeClr>
            </a:solidFill>
            <a:ln>
              <a:noFill/>
            </a:ln>
            <a:effectLst/>
          </c:spPr>
          <c:invertIfNegative val="0"/>
          <c:cat>
            <c:strRef>
              <c:f>Sheet1!$AS$109:$AS$111</c:f>
              <c:strCache>
                <c:ptCount val="2"/>
                <c:pt idx="0">
                  <c:v>Male-headed</c:v>
                </c:pt>
                <c:pt idx="1">
                  <c:v>Female-headed</c:v>
                </c:pt>
              </c:strCache>
            </c:strRef>
          </c:cat>
          <c:val>
            <c:numRef>
              <c:f>Sheet1!$AY$109:$AY$111</c:f>
              <c:numCache>
                <c:formatCode>General</c:formatCode>
                <c:ptCount val="2"/>
                <c:pt idx="0">
                  <c:v>761</c:v>
                </c:pt>
                <c:pt idx="1">
                  <c:v>73</c:v>
                </c:pt>
              </c:numCache>
            </c:numRef>
          </c:val>
        </c:ser>
        <c:ser>
          <c:idx val="6"/>
          <c:order val="6"/>
          <c:tx>
            <c:strRef>
              <c:f>Sheet1!$AZ$107:$AZ$108</c:f>
              <c:strCache>
                <c:ptCount val="1"/>
                <c:pt idx="0">
                  <c:v>501-1000</c:v>
                </c:pt>
              </c:strCache>
            </c:strRef>
          </c:tx>
          <c:spPr>
            <a:solidFill>
              <a:schemeClr val="accent3">
                <a:shade val="61000"/>
              </a:schemeClr>
            </a:solidFill>
            <a:ln>
              <a:noFill/>
            </a:ln>
            <a:effectLst/>
          </c:spPr>
          <c:invertIfNegative val="0"/>
          <c:cat>
            <c:strRef>
              <c:f>Sheet1!$AS$109:$AS$111</c:f>
              <c:strCache>
                <c:ptCount val="2"/>
                <c:pt idx="0">
                  <c:v>Male-headed</c:v>
                </c:pt>
                <c:pt idx="1">
                  <c:v>Female-headed</c:v>
                </c:pt>
              </c:strCache>
            </c:strRef>
          </c:cat>
          <c:val>
            <c:numRef>
              <c:f>Sheet1!$AZ$109:$AZ$111</c:f>
              <c:numCache>
                <c:formatCode>General</c:formatCode>
                <c:ptCount val="2"/>
                <c:pt idx="0">
                  <c:v>160</c:v>
                </c:pt>
                <c:pt idx="1">
                  <c:v>8</c:v>
                </c:pt>
              </c:numCache>
            </c:numRef>
          </c:val>
        </c:ser>
        <c:ser>
          <c:idx val="7"/>
          <c:order val="7"/>
          <c:tx>
            <c:strRef>
              <c:f>Sheet1!$BA$107:$BA$108</c:f>
              <c:strCache>
                <c:ptCount val="1"/>
                <c:pt idx="0">
                  <c:v>1000+</c:v>
                </c:pt>
              </c:strCache>
            </c:strRef>
          </c:tx>
          <c:spPr>
            <a:solidFill>
              <a:schemeClr val="accent3">
                <a:shade val="45000"/>
              </a:schemeClr>
            </a:solidFill>
            <a:ln>
              <a:noFill/>
            </a:ln>
            <a:effectLst/>
          </c:spPr>
          <c:invertIfNegative val="0"/>
          <c:cat>
            <c:strRef>
              <c:f>Sheet1!$AS$109:$AS$111</c:f>
              <c:strCache>
                <c:ptCount val="2"/>
                <c:pt idx="0">
                  <c:v>Male-headed</c:v>
                </c:pt>
                <c:pt idx="1">
                  <c:v>Female-headed</c:v>
                </c:pt>
              </c:strCache>
            </c:strRef>
          </c:cat>
          <c:val>
            <c:numRef>
              <c:f>Sheet1!$BA$109:$BA$111</c:f>
              <c:numCache>
                <c:formatCode>General</c:formatCode>
                <c:ptCount val="2"/>
                <c:pt idx="0">
                  <c:v>23</c:v>
                </c:pt>
                <c:pt idx="1">
                  <c:v>2</c:v>
                </c:pt>
              </c:numCache>
            </c:numRef>
          </c:val>
        </c:ser>
        <c:dLbls>
          <c:showLegendKey val="0"/>
          <c:showVal val="0"/>
          <c:showCatName val="0"/>
          <c:showSerName val="0"/>
          <c:showPercent val="0"/>
          <c:showBubbleSize val="0"/>
        </c:dLbls>
        <c:gapWidth val="50"/>
        <c:overlap val="100"/>
        <c:axId val="531211192"/>
        <c:axId val="531215112"/>
      </c:barChart>
      <c:catAx>
        <c:axId val="531211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215112"/>
        <c:crosses val="autoZero"/>
        <c:auto val="1"/>
        <c:lblAlgn val="ctr"/>
        <c:lblOffset val="100"/>
        <c:noMultiLvlLbl val="0"/>
      </c:catAx>
      <c:valAx>
        <c:axId val="5312151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211192"/>
        <c:crosses val="autoZero"/>
        <c:crossBetween val="between"/>
        <c:majorUnit val="0.2"/>
      </c:valAx>
      <c:spPr>
        <a:noFill/>
        <a:ln>
          <a:noFill/>
        </a:ln>
        <a:effectLst/>
      </c:spPr>
    </c:plotArea>
    <c:legend>
      <c:legendPos val="r"/>
      <c:layout>
        <c:manualLayout>
          <c:xMode val="edge"/>
          <c:yMode val="edge"/>
          <c:x val="0.82269098807790098"/>
          <c:y val="7.6763426959689754E-2"/>
          <c:w val="0.15850023449263201"/>
          <c:h val="0.8706514670740782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pivotSource>
    <c:name>[Gaza WASH Assessment_raw data_GVC_edited.xlsx]Pivots!PivotTable32</c:name>
    <c:fmtId val="-1"/>
  </c:pivotSource>
  <c:chart>
    <c:title>
      <c:layout>
        <c:manualLayout>
          <c:xMode val="edge"/>
          <c:yMode val="edge"/>
          <c:x val="0.41849366655255055"/>
          <c:y val="3.7383177570093455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3"/>
          </a:solidFill>
          <a:ln>
            <a:noFill/>
          </a:ln>
          <a:effectLst/>
        </c:spPr>
        <c:marker>
          <c:symbol val="none"/>
        </c:marker>
      </c:pivotFmt>
      <c:pivotFmt>
        <c:idx val="1"/>
        <c:spPr>
          <a:solidFill>
            <a:schemeClr val="accent3"/>
          </a:solidFill>
          <a:ln>
            <a:noFill/>
          </a:ln>
          <a:effectLst/>
        </c:spPr>
        <c:marker>
          <c:symbol val="none"/>
        </c:marker>
      </c:pivotFmt>
      <c:pivotFmt>
        <c:idx val="2"/>
        <c:spPr>
          <a:solidFill>
            <a:schemeClr val="accent3"/>
          </a:solidFill>
          <a:ln>
            <a:noFill/>
          </a:ln>
          <a:effectLst/>
        </c:spPr>
        <c:marker>
          <c:symbol val="none"/>
        </c:marker>
      </c:pivotFmt>
      <c:pivotFmt>
        <c:idx val="3"/>
        <c:spPr>
          <a:solidFill>
            <a:schemeClr val="accent3"/>
          </a:solidFill>
          <a:ln>
            <a:noFill/>
          </a:ln>
          <a:effectLst/>
        </c:spPr>
        <c:marker>
          <c:symbol val="none"/>
        </c:marker>
      </c:pivotFmt>
      <c:pivotFmt>
        <c:idx val="4"/>
        <c:spPr>
          <a:solidFill>
            <a:schemeClr val="accent3"/>
          </a:solidFill>
          <a:ln>
            <a:noFill/>
          </a:ln>
          <a:effectLst/>
        </c:spPr>
        <c:marker>
          <c:symbol val="none"/>
        </c:marker>
      </c:pivotFmt>
      <c:pivotFmt>
        <c:idx val="5"/>
        <c:spPr>
          <a:solidFill>
            <a:schemeClr val="accent3"/>
          </a:solidFill>
          <a:ln>
            <a:noFill/>
          </a:ln>
          <a:effectLst/>
        </c:spPr>
        <c:marker>
          <c:symbol val="none"/>
        </c:marker>
      </c:pivotFmt>
      <c:pivotFmt>
        <c:idx val="6"/>
        <c:spPr>
          <a:solidFill>
            <a:schemeClr val="accent3"/>
          </a:solidFill>
          <a:ln>
            <a:noFill/>
          </a:ln>
          <a:effectLst/>
        </c:spPr>
        <c:marker>
          <c:symbol val="none"/>
        </c:marker>
      </c:pivotFmt>
      <c:pivotFmt>
        <c:idx val="7"/>
        <c:spPr>
          <a:solidFill>
            <a:schemeClr val="accent3"/>
          </a:solidFill>
          <a:ln>
            <a:noFill/>
          </a:ln>
          <a:effectLst/>
        </c:spPr>
        <c:marker>
          <c:symbol val="none"/>
        </c:marker>
      </c:pivotFmt>
      <c:pivotFmt>
        <c:idx val="8"/>
        <c:spPr>
          <a:solidFill>
            <a:schemeClr val="accent3"/>
          </a:solidFill>
          <a:ln>
            <a:noFill/>
          </a:ln>
          <a:effectLst/>
        </c:spPr>
        <c:marker>
          <c:symbol val="none"/>
        </c:marker>
      </c:pivotFmt>
      <c:pivotFmt>
        <c:idx val="9"/>
        <c:spPr>
          <a:solidFill>
            <a:schemeClr val="accent3"/>
          </a:solidFill>
          <a:ln>
            <a:noFill/>
          </a:ln>
          <a:effectLst/>
        </c:spPr>
        <c:marker>
          <c:symbol val="none"/>
        </c:marker>
      </c:pivotFmt>
      <c:pivotFmt>
        <c:idx val="10"/>
        <c:spPr>
          <a:solidFill>
            <a:schemeClr val="accent3"/>
          </a:solidFill>
          <a:ln>
            <a:noFill/>
          </a:ln>
          <a:effectLst/>
        </c:spPr>
        <c:marker>
          <c:symbol val="none"/>
        </c:marker>
      </c:pivotFmt>
      <c:pivotFmt>
        <c:idx val="11"/>
        <c:spPr>
          <a:solidFill>
            <a:schemeClr val="accent3"/>
          </a:solidFill>
          <a:ln>
            <a:noFill/>
          </a:ln>
          <a:effectLst/>
        </c:spPr>
        <c:marker>
          <c:symbol val="none"/>
        </c:marker>
      </c:pivotFmt>
      <c:pivotFmt>
        <c:idx val="12"/>
        <c:spPr>
          <a:solidFill>
            <a:schemeClr val="accent3"/>
          </a:solidFill>
          <a:ln>
            <a:noFill/>
          </a:ln>
          <a:effectLst/>
        </c:spPr>
        <c:marker>
          <c:symbol val="none"/>
        </c:marker>
      </c:pivotFmt>
      <c:pivotFmt>
        <c:idx val="13"/>
        <c:spPr>
          <a:solidFill>
            <a:schemeClr val="accent3"/>
          </a:solidFill>
          <a:ln>
            <a:noFill/>
          </a:ln>
          <a:effectLst/>
        </c:spPr>
        <c:marker>
          <c:symbol val="none"/>
        </c:marker>
      </c:pivotFmt>
      <c:pivotFmt>
        <c:idx val="14"/>
        <c:spPr>
          <a:solidFill>
            <a:schemeClr val="accent3"/>
          </a:solidFill>
          <a:ln>
            <a:noFill/>
          </a:ln>
          <a:effectLst/>
        </c:spPr>
        <c:marker>
          <c:symbol val="none"/>
        </c:marker>
      </c:pivotFmt>
      <c:pivotFmt>
        <c:idx val="15"/>
        <c:spPr>
          <a:solidFill>
            <a:schemeClr val="accent3"/>
          </a:solidFill>
          <a:ln>
            <a:noFill/>
          </a:ln>
          <a:effectLst/>
        </c:spPr>
        <c:marker>
          <c:symbol val="none"/>
        </c:marker>
      </c:pivotFmt>
      <c:pivotFmt>
        <c:idx val="16"/>
        <c:spPr>
          <a:solidFill>
            <a:schemeClr val="accent3"/>
          </a:solidFill>
          <a:ln>
            <a:noFill/>
          </a:ln>
          <a:effectLst/>
        </c:spPr>
        <c:marker>
          <c:symbol val="none"/>
        </c:marker>
      </c:pivotFmt>
      <c:pivotFmt>
        <c:idx val="17"/>
        <c:spPr>
          <a:solidFill>
            <a:schemeClr val="accent3"/>
          </a:solidFill>
          <a:ln>
            <a:noFill/>
          </a:ln>
          <a:effectLst/>
        </c:spPr>
        <c:marker>
          <c:symbol val="none"/>
        </c:marker>
      </c:pivotFmt>
      <c:pivotFmt>
        <c:idx val="18"/>
        <c:spPr>
          <a:solidFill>
            <a:schemeClr val="accent3"/>
          </a:solidFill>
          <a:ln>
            <a:noFill/>
          </a:ln>
          <a:effectLst/>
        </c:spPr>
        <c:marker>
          <c:symbol val="none"/>
        </c:marker>
      </c:pivotFmt>
      <c:pivotFmt>
        <c:idx val="19"/>
        <c:spPr>
          <a:solidFill>
            <a:schemeClr val="accent3"/>
          </a:solidFill>
          <a:ln>
            <a:noFill/>
          </a:ln>
          <a:effectLst/>
        </c:spPr>
        <c:marker>
          <c:symbol val="none"/>
        </c:marker>
      </c:pivotFmt>
      <c:pivotFmt>
        <c:idx val="20"/>
        <c:spPr>
          <a:solidFill>
            <a:schemeClr val="accent3"/>
          </a:solidFill>
          <a:ln>
            <a:noFill/>
          </a:ln>
          <a:effectLst/>
        </c:spPr>
        <c:marker>
          <c:symbol val="none"/>
        </c:marker>
      </c:pivotFmt>
      <c:pivotFmt>
        <c:idx val="21"/>
        <c:spPr>
          <a:solidFill>
            <a:schemeClr val="accent3"/>
          </a:solidFill>
          <a:ln>
            <a:noFill/>
          </a:ln>
          <a:effectLst/>
        </c:spPr>
        <c:marker>
          <c:symbol val="none"/>
        </c:marker>
      </c:pivotFmt>
      <c:pivotFmt>
        <c:idx val="22"/>
        <c:spPr>
          <a:solidFill>
            <a:schemeClr val="accent3"/>
          </a:solidFill>
          <a:ln>
            <a:noFill/>
          </a:ln>
          <a:effectLst/>
        </c:spPr>
        <c:marker>
          <c:symbol val="none"/>
        </c:marker>
      </c:pivotFmt>
      <c:pivotFmt>
        <c:idx val="23"/>
        <c:spPr>
          <a:solidFill>
            <a:schemeClr val="accent3"/>
          </a:solidFill>
          <a:ln>
            <a:noFill/>
          </a:ln>
          <a:effectLst/>
        </c:spPr>
        <c:marker>
          <c:symbol val="none"/>
        </c:marker>
      </c:pivotFmt>
    </c:pivotFmts>
    <c:plotArea>
      <c:layout>
        <c:manualLayout>
          <c:layoutTarget val="inner"/>
          <c:xMode val="edge"/>
          <c:yMode val="edge"/>
          <c:x val="6.0276813224433901E-2"/>
          <c:y val="0.20962616822429905"/>
          <c:w val="0.72033087921771499"/>
          <c:h val="0.57356759143424829"/>
        </c:manualLayout>
      </c:layout>
      <c:barChart>
        <c:barDir val="bar"/>
        <c:grouping val="percentStacked"/>
        <c:varyColors val="0"/>
        <c:ser>
          <c:idx val="0"/>
          <c:order val="0"/>
          <c:tx>
            <c:strRef>
              <c:f>Pivots!$AF$107:$AF$108</c:f>
              <c:strCache>
                <c:ptCount val="1"/>
                <c:pt idx="0">
                  <c:v>1-25</c:v>
                </c:pt>
              </c:strCache>
            </c:strRef>
          </c:tx>
          <c:spPr>
            <a:solidFill>
              <a:schemeClr val="accent3">
                <a:tint val="46000"/>
              </a:schemeClr>
            </a:solidFill>
            <a:ln>
              <a:noFill/>
            </a:ln>
            <a:effectLst/>
          </c:spPr>
          <c:invertIfNegative val="0"/>
          <c:cat>
            <c:strRef>
              <c:f>Pivots!$AE$109:$AE$114</c:f>
              <c:strCache>
                <c:ptCount val="5"/>
                <c:pt idx="0">
                  <c:v>1</c:v>
                </c:pt>
                <c:pt idx="1">
                  <c:v>2</c:v>
                </c:pt>
                <c:pt idx="2">
                  <c:v>3</c:v>
                </c:pt>
                <c:pt idx="3">
                  <c:v>4</c:v>
                </c:pt>
                <c:pt idx="4">
                  <c:v>5</c:v>
                </c:pt>
              </c:strCache>
            </c:strRef>
          </c:cat>
          <c:val>
            <c:numRef>
              <c:f>Pivots!$AF$109:$AF$114</c:f>
              <c:numCache>
                <c:formatCode>General</c:formatCode>
                <c:ptCount val="5"/>
                <c:pt idx="0">
                  <c:v>259</c:v>
                </c:pt>
                <c:pt idx="1">
                  <c:v>68</c:v>
                </c:pt>
                <c:pt idx="2">
                  <c:v>132</c:v>
                </c:pt>
                <c:pt idx="3">
                  <c:v>125</c:v>
                </c:pt>
                <c:pt idx="4">
                  <c:v>121</c:v>
                </c:pt>
              </c:numCache>
            </c:numRef>
          </c:val>
        </c:ser>
        <c:ser>
          <c:idx val="1"/>
          <c:order val="1"/>
          <c:tx>
            <c:strRef>
              <c:f>Pivots!$AG$107:$AG$108</c:f>
              <c:strCache>
                <c:ptCount val="1"/>
                <c:pt idx="0">
                  <c:v>26-50</c:v>
                </c:pt>
              </c:strCache>
            </c:strRef>
          </c:tx>
          <c:spPr>
            <a:solidFill>
              <a:schemeClr val="accent3">
                <a:tint val="62000"/>
              </a:schemeClr>
            </a:solidFill>
            <a:ln>
              <a:noFill/>
            </a:ln>
            <a:effectLst/>
          </c:spPr>
          <c:invertIfNegative val="0"/>
          <c:cat>
            <c:strRef>
              <c:f>Pivots!$AE$109:$AE$114</c:f>
              <c:strCache>
                <c:ptCount val="5"/>
                <c:pt idx="0">
                  <c:v>1</c:v>
                </c:pt>
                <c:pt idx="1">
                  <c:v>2</c:v>
                </c:pt>
                <c:pt idx="2">
                  <c:v>3</c:v>
                </c:pt>
                <c:pt idx="3">
                  <c:v>4</c:v>
                </c:pt>
                <c:pt idx="4">
                  <c:v>5</c:v>
                </c:pt>
              </c:strCache>
            </c:strRef>
          </c:cat>
          <c:val>
            <c:numRef>
              <c:f>Pivots!$AG$109:$AG$114</c:f>
              <c:numCache>
                <c:formatCode>General</c:formatCode>
                <c:ptCount val="5"/>
                <c:pt idx="0">
                  <c:v>59</c:v>
                </c:pt>
                <c:pt idx="1">
                  <c:v>12</c:v>
                </c:pt>
                <c:pt idx="2">
                  <c:v>31</c:v>
                </c:pt>
                <c:pt idx="3">
                  <c:v>33</c:v>
                </c:pt>
                <c:pt idx="4">
                  <c:v>27</c:v>
                </c:pt>
              </c:numCache>
            </c:numRef>
          </c:val>
        </c:ser>
        <c:ser>
          <c:idx val="2"/>
          <c:order val="2"/>
          <c:tx>
            <c:strRef>
              <c:f>Pivots!$AH$107:$AH$108</c:f>
              <c:strCache>
                <c:ptCount val="1"/>
                <c:pt idx="0">
                  <c:v>51-100</c:v>
                </c:pt>
              </c:strCache>
            </c:strRef>
          </c:tx>
          <c:spPr>
            <a:solidFill>
              <a:schemeClr val="accent3">
                <a:tint val="77000"/>
              </a:schemeClr>
            </a:solidFill>
            <a:ln>
              <a:noFill/>
            </a:ln>
            <a:effectLst/>
          </c:spPr>
          <c:invertIfNegative val="0"/>
          <c:cat>
            <c:strRef>
              <c:f>Pivots!$AE$109:$AE$114</c:f>
              <c:strCache>
                <c:ptCount val="5"/>
                <c:pt idx="0">
                  <c:v>1</c:v>
                </c:pt>
                <c:pt idx="1">
                  <c:v>2</c:v>
                </c:pt>
                <c:pt idx="2">
                  <c:v>3</c:v>
                </c:pt>
                <c:pt idx="3">
                  <c:v>4</c:v>
                </c:pt>
                <c:pt idx="4">
                  <c:v>5</c:v>
                </c:pt>
              </c:strCache>
            </c:strRef>
          </c:cat>
          <c:val>
            <c:numRef>
              <c:f>Pivots!$AH$109:$AH$114</c:f>
              <c:numCache>
                <c:formatCode>General</c:formatCode>
                <c:ptCount val="5"/>
                <c:pt idx="0">
                  <c:v>24</c:v>
                </c:pt>
                <c:pt idx="1">
                  <c:v>10</c:v>
                </c:pt>
                <c:pt idx="2">
                  <c:v>7</c:v>
                </c:pt>
                <c:pt idx="3">
                  <c:v>21</c:v>
                </c:pt>
                <c:pt idx="4">
                  <c:v>14</c:v>
                </c:pt>
              </c:numCache>
            </c:numRef>
          </c:val>
        </c:ser>
        <c:ser>
          <c:idx val="3"/>
          <c:order val="3"/>
          <c:tx>
            <c:strRef>
              <c:f>Pivots!$AI$107:$AI$108</c:f>
              <c:strCache>
                <c:ptCount val="1"/>
                <c:pt idx="0">
                  <c:v>101-200</c:v>
                </c:pt>
              </c:strCache>
            </c:strRef>
          </c:tx>
          <c:spPr>
            <a:solidFill>
              <a:schemeClr val="accent3">
                <a:tint val="93000"/>
              </a:schemeClr>
            </a:solidFill>
            <a:ln>
              <a:noFill/>
            </a:ln>
            <a:effectLst/>
          </c:spPr>
          <c:invertIfNegative val="0"/>
          <c:cat>
            <c:strRef>
              <c:f>Pivots!$AE$109:$AE$114</c:f>
              <c:strCache>
                <c:ptCount val="5"/>
                <c:pt idx="0">
                  <c:v>1</c:v>
                </c:pt>
                <c:pt idx="1">
                  <c:v>2</c:v>
                </c:pt>
                <c:pt idx="2">
                  <c:v>3</c:v>
                </c:pt>
                <c:pt idx="3">
                  <c:v>4</c:v>
                </c:pt>
                <c:pt idx="4">
                  <c:v>5</c:v>
                </c:pt>
              </c:strCache>
            </c:strRef>
          </c:cat>
          <c:val>
            <c:numRef>
              <c:f>Pivots!$AI$109:$AI$114</c:f>
              <c:numCache>
                <c:formatCode>General</c:formatCode>
                <c:ptCount val="5"/>
                <c:pt idx="0">
                  <c:v>98</c:v>
                </c:pt>
                <c:pt idx="1">
                  <c:v>43</c:v>
                </c:pt>
                <c:pt idx="2">
                  <c:v>54</c:v>
                </c:pt>
                <c:pt idx="3">
                  <c:v>83</c:v>
                </c:pt>
                <c:pt idx="4">
                  <c:v>87</c:v>
                </c:pt>
              </c:numCache>
            </c:numRef>
          </c:val>
        </c:ser>
        <c:ser>
          <c:idx val="4"/>
          <c:order val="4"/>
          <c:tx>
            <c:strRef>
              <c:f>Pivots!$AJ$107:$AJ$108</c:f>
              <c:strCache>
                <c:ptCount val="1"/>
                <c:pt idx="0">
                  <c:v>201-400</c:v>
                </c:pt>
              </c:strCache>
            </c:strRef>
          </c:tx>
          <c:spPr>
            <a:solidFill>
              <a:schemeClr val="accent3">
                <a:shade val="92000"/>
              </a:schemeClr>
            </a:solidFill>
            <a:ln>
              <a:noFill/>
            </a:ln>
            <a:effectLst/>
          </c:spPr>
          <c:invertIfNegative val="0"/>
          <c:cat>
            <c:strRef>
              <c:f>Pivots!$AE$109:$AE$114</c:f>
              <c:strCache>
                <c:ptCount val="5"/>
                <c:pt idx="0">
                  <c:v>1</c:v>
                </c:pt>
                <c:pt idx="1">
                  <c:v>2</c:v>
                </c:pt>
                <c:pt idx="2">
                  <c:v>3</c:v>
                </c:pt>
                <c:pt idx="3">
                  <c:v>4</c:v>
                </c:pt>
                <c:pt idx="4">
                  <c:v>5</c:v>
                </c:pt>
              </c:strCache>
            </c:strRef>
          </c:cat>
          <c:val>
            <c:numRef>
              <c:f>Pivots!$AJ$109:$AJ$114</c:f>
              <c:numCache>
                <c:formatCode>General</c:formatCode>
                <c:ptCount val="5"/>
                <c:pt idx="0">
                  <c:v>209</c:v>
                </c:pt>
                <c:pt idx="1">
                  <c:v>60</c:v>
                </c:pt>
                <c:pt idx="2">
                  <c:v>129</c:v>
                </c:pt>
                <c:pt idx="3">
                  <c:v>218</c:v>
                </c:pt>
                <c:pt idx="4">
                  <c:v>215</c:v>
                </c:pt>
              </c:numCache>
            </c:numRef>
          </c:val>
        </c:ser>
        <c:ser>
          <c:idx val="5"/>
          <c:order val="5"/>
          <c:tx>
            <c:strRef>
              <c:f>Pivots!$AK$107:$AK$108</c:f>
              <c:strCache>
                <c:ptCount val="1"/>
                <c:pt idx="0">
                  <c:v>401-500</c:v>
                </c:pt>
              </c:strCache>
            </c:strRef>
          </c:tx>
          <c:spPr>
            <a:solidFill>
              <a:schemeClr val="accent3">
                <a:shade val="76000"/>
              </a:schemeClr>
            </a:solidFill>
            <a:ln>
              <a:noFill/>
            </a:ln>
            <a:effectLst/>
          </c:spPr>
          <c:invertIfNegative val="0"/>
          <c:cat>
            <c:strRef>
              <c:f>Pivots!$AE$109:$AE$114</c:f>
              <c:strCache>
                <c:ptCount val="5"/>
                <c:pt idx="0">
                  <c:v>1</c:v>
                </c:pt>
                <c:pt idx="1">
                  <c:v>2</c:v>
                </c:pt>
                <c:pt idx="2">
                  <c:v>3</c:v>
                </c:pt>
                <c:pt idx="3">
                  <c:v>4</c:v>
                </c:pt>
                <c:pt idx="4">
                  <c:v>5</c:v>
                </c:pt>
              </c:strCache>
            </c:strRef>
          </c:cat>
          <c:val>
            <c:numRef>
              <c:f>Pivots!$AK$109:$AK$114</c:f>
              <c:numCache>
                <c:formatCode>General</c:formatCode>
                <c:ptCount val="5"/>
                <c:pt idx="0">
                  <c:v>233</c:v>
                </c:pt>
                <c:pt idx="1">
                  <c:v>71</c:v>
                </c:pt>
                <c:pt idx="2">
                  <c:v>132</c:v>
                </c:pt>
                <c:pt idx="3">
                  <c:v>179</c:v>
                </c:pt>
                <c:pt idx="4">
                  <c:v>219</c:v>
                </c:pt>
              </c:numCache>
            </c:numRef>
          </c:val>
        </c:ser>
        <c:ser>
          <c:idx val="6"/>
          <c:order val="6"/>
          <c:tx>
            <c:strRef>
              <c:f>Pivots!$AL$107:$AL$108</c:f>
              <c:strCache>
                <c:ptCount val="1"/>
                <c:pt idx="0">
                  <c:v>501-1000</c:v>
                </c:pt>
              </c:strCache>
            </c:strRef>
          </c:tx>
          <c:spPr>
            <a:solidFill>
              <a:schemeClr val="accent3">
                <a:shade val="61000"/>
              </a:schemeClr>
            </a:solidFill>
            <a:ln>
              <a:noFill/>
            </a:ln>
            <a:effectLst/>
          </c:spPr>
          <c:invertIfNegative val="0"/>
          <c:cat>
            <c:strRef>
              <c:f>Pivots!$AE$109:$AE$114</c:f>
              <c:strCache>
                <c:ptCount val="5"/>
                <c:pt idx="0">
                  <c:v>1</c:v>
                </c:pt>
                <c:pt idx="1">
                  <c:v>2</c:v>
                </c:pt>
                <c:pt idx="2">
                  <c:v>3</c:v>
                </c:pt>
                <c:pt idx="3">
                  <c:v>4</c:v>
                </c:pt>
                <c:pt idx="4">
                  <c:v>5</c:v>
                </c:pt>
              </c:strCache>
            </c:strRef>
          </c:cat>
          <c:val>
            <c:numRef>
              <c:f>Pivots!$AL$109:$AL$114</c:f>
              <c:numCache>
                <c:formatCode>General</c:formatCode>
                <c:ptCount val="5"/>
                <c:pt idx="0">
                  <c:v>40</c:v>
                </c:pt>
                <c:pt idx="1">
                  <c:v>8</c:v>
                </c:pt>
                <c:pt idx="2">
                  <c:v>30</c:v>
                </c:pt>
                <c:pt idx="3">
                  <c:v>34</c:v>
                </c:pt>
                <c:pt idx="4">
                  <c:v>56</c:v>
                </c:pt>
              </c:numCache>
            </c:numRef>
          </c:val>
        </c:ser>
        <c:ser>
          <c:idx val="7"/>
          <c:order val="7"/>
          <c:tx>
            <c:strRef>
              <c:f>Pivots!$AM$107:$AM$108</c:f>
              <c:strCache>
                <c:ptCount val="1"/>
                <c:pt idx="0">
                  <c:v>1000+</c:v>
                </c:pt>
              </c:strCache>
            </c:strRef>
          </c:tx>
          <c:spPr>
            <a:solidFill>
              <a:schemeClr val="accent3">
                <a:shade val="45000"/>
              </a:schemeClr>
            </a:solidFill>
            <a:ln>
              <a:noFill/>
            </a:ln>
            <a:effectLst/>
          </c:spPr>
          <c:invertIfNegative val="0"/>
          <c:cat>
            <c:strRef>
              <c:f>Pivots!$AE$109:$AE$114</c:f>
              <c:strCache>
                <c:ptCount val="5"/>
                <c:pt idx="0">
                  <c:v>1</c:v>
                </c:pt>
                <c:pt idx="1">
                  <c:v>2</c:v>
                </c:pt>
                <c:pt idx="2">
                  <c:v>3</c:v>
                </c:pt>
                <c:pt idx="3">
                  <c:v>4</c:v>
                </c:pt>
                <c:pt idx="4">
                  <c:v>5</c:v>
                </c:pt>
              </c:strCache>
            </c:strRef>
          </c:cat>
          <c:val>
            <c:numRef>
              <c:f>Pivots!$AM$109:$AM$114</c:f>
              <c:numCache>
                <c:formatCode>General</c:formatCode>
                <c:ptCount val="5"/>
                <c:pt idx="0">
                  <c:v>4</c:v>
                </c:pt>
                <c:pt idx="1">
                  <c:v>3</c:v>
                </c:pt>
                <c:pt idx="2">
                  <c:v>4</c:v>
                </c:pt>
                <c:pt idx="3">
                  <c:v>6</c:v>
                </c:pt>
                <c:pt idx="4">
                  <c:v>8</c:v>
                </c:pt>
              </c:numCache>
            </c:numRef>
          </c:val>
        </c:ser>
        <c:dLbls>
          <c:showLegendKey val="0"/>
          <c:showVal val="0"/>
          <c:showCatName val="0"/>
          <c:showSerName val="0"/>
          <c:showPercent val="0"/>
          <c:showBubbleSize val="0"/>
        </c:dLbls>
        <c:gapWidth val="50"/>
        <c:overlap val="100"/>
        <c:axId val="531216680"/>
        <c:axId val="531210408"/>
      </c:barChart>
      <c:catAx>
        <c:axId val="531216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210408"/>
        <c:crosses val="autoZero"/>
        <c:auto val="1"/>
        <c:lblAlgn val="ctr"/>
        <c:lblOffset val="100"/>
        <c:noMultiLvlLbl val="0"/>
      </c:catAx>
      <c:valAx>
        <c:axId val="5312104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216680"/>
        <c:crosses val="autoZero"/>
        <c:crossBetween val="between"/>
      </c:valAx>
      <c:spPr>
        <a:noFill/>
        <a:ln>
          <a:noFill/>
        </a:ln>
        <a:effectLst/>
      </c:spPr>
    </c:plotArea>
    <c:legend>
      <c:legendPos val="r"/>
      <c:layout>
        <c:manualLayout>
          <c:xMode val="edge"/>
          <c:yMode val="edge"/>
          <c:x val="0.82434293539394532"/>
          <c:y val="8.3782471116344112E-2"/>
          <c:w val="0.15702352423338387"/>
          <c:h val="0.83645301346677459"/>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pivotSource>
    <c:name>[ACF HH Survey.xlsx]Pivots!PivotTable2</c:name>
    <c:fmtId val="-1"/>
  </c:pivotSource>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Household Water Consumption by Governorate</a:t>
            </a:r>
          </a:p>
        </c:rich>
      </c:tx>
      <c:layout>
        <c:manualLayout>
          <c:xMode val="edge"/>
          <c:yMode val="edge"/>
          <c:x val="0.17375262054507337"/>
          <c:y val="1.9047619047619049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3"/>
          </a:solidFill>
          <a:ln>
            <a:noFill/>
          </a:ln>
          <a:effectLst/>
        </c:spPr>
        <c:marker>
          <c:symbol val="none"/>
        </c:marker>
      </c:pivotFmt>
      <c:pivotFmt>
        <c:idx val="1"/>
        <c:spPr>
          <a:solidFill>
            <a:schemeClr val="accent3"/>
          </a:solidFill>
          <a:ln>
            <a:noFill/>
          </a:ln>
          <a:effectLst/>
        </c:spPr>
        <c:marker>
          <c:symbol val="none"/>
        </c:marker>
      </c:pivotFmt>
      <c:pivotFmt>
        <c:idx val="2"/>
        <c:spPr>
          <a:solidFill>
            <a:schemeClr val="accent3"/>
          </a:solidFill>
          <a:ln>
            <a:noFill/>
          </a:ln>
          <a:effectLst/>
        </c:spPr>
        <c:marker>
          <c:symbol val="none"/>
        </c:marker>
      </c:pivotFmt>
      <c:pivotFmt>
        <c:idx val="3"/>
        <c:spPr>
          <a:solidFill>
            <a:schemeClr val="accent3"/>
          </a:solidFill>
          <a:ln>
            <a:noFill/>
          </a:ln>
          <a:effectLst/>
        </c:spPr>
        <c:marker>
          <c:symbol val="none"/>
        </c:marker>
      </c:pivotFmt>
      <c:pivotFmt>
        <c:idx val="4"/>
        <c:spPr>
          <a:solidFill>
            <a:schemeClr val="accent3"/>
          </a:solidFill>
          <a:ln>
            <a:noFill/>
          </a:ln>
          <a:effectLst/>
        </c:spPr>
        <c:marker>
          <c:symbol val="none"/>
        </c:marker>
      </c:pivotFmt>
      <c:pivotFmt>
        <c:idx val="5"/>
        <c:spPr>
          <a:solidFill>
            <a:schemeClr val="accent3"/>
          </a:solidFill>
          <a:ln>
            <a:noFill/>
          </a:ln>
          <a:effectLst/>
        </c:spPr>
        <c:marker>
          <c:symbol val="none"/>
        </c:marker>
      </c:pivotFmt>
      <c:pivotFmt>
        <c:idx val="6"/>
        <c:spPr>
          <a:solidFill>
            <a:schemeClr val="accent3"/>
          </a:solidFill>
          <a:ln>
            <a:noFill/>
          </a:ln>
          <a:effectLst/>
        </c:spPr>
        <c:marker>
          <c:symbol val="none"/>
        </c:marker>
      </c:pivotFmt>
      <c:pivotFmt>
        <c:idx val="7"/>
        <c:spPr>
          <a:solidFill>
            <a:schemeClr val="accent3"/>
          </a:solidFill>
          <a:ln>
            <a:noFill/>
          </a:ln>
          <a:effectLst/>
        </c:spPr>
        <c:marker>
          <c:symbol val="none"/>
        </c:marker>
      </c:pivotFmt>
      <c:pivotFmt>
        <c:idx val="8"/>
        <c:spPr>
          <a:solidFill>
            <a:schemeClr val="accent3"/>
          </a:solidFill>
          <a:ln>
            <a:noFill/>
          </a:ln>
          <a:effectLst/>
        </c:spPr>
        <c:marker>
          <c:symbol val="none"/>
        </c:marker>
      </c:pivotFmt>
      <c:pivotFmt>
        <c:idx val="9"/>
        <c:spPr>
          <a:solidFill>
            <a:schemeClr val="accent3"/>
          </a:solidFill>
          <a:ln>
            <a:noFill/>
          </a:ln>
          <a:effectLst/>
        </c:spPr>
        <c:marker>
          <c:symbol val="none"/>
        </c:marker>
      </c:pivotFmt>
      <c:pivotFmt>
        <c:idx val="10"/>
        <c:spPr>
          <a:solidFill>
            <a:schemeClr val="accent3"/>
          </a:solidFill>
          <a:ln>
            <a:noFill/>
          </a:ln>
          <a:effectLst/>
        </c:spPr>
        <c:marker>
          <c:symbol val="none"/>
        </c:marker>
      </c:pivotFmt>
      <c:pivotFmt>
        <c:idx val="11"/>
        <c:spPr>
          <a:solidFill>
            <a:schemeClr val="accent3"/>
          </a:solidFill>
          <a:ln>
            <a:noFill/>
          </a:ln>
          <a:effectLst/>
        </c:spPr>
        <c:marker>
          <c:symbol val="none"/>
        </c:marker>
      </c:pivotFmt>
    </c:pivotFmts>
    <c:plotArea>
      <c:layout>
        <c:manualLayout>
          <c:layoutTarget val="inner"/>
          <c:xMode val="edge"/>
          <c:yMode val="edge"/>
          <c:x val="0.19755810644151409"/>
          <c:y val="0.23266666666666666"/>
          <c:w val="0.6332340385162698"/>
          <c:h val="0.54639745031871012"/>
        </c:manualLayout>
      </c:layout>
      <c:barChart>
        <c:barDir val="bar"/>
        <c:grouping val="percentStacked"/>
        <c:varyColors val="0"/>
        <c:ser>
          <c:idx val="0"/>
          <c:order val="0"/>
          <c:tx>
            <c:strRef>
              <c:f>Pivots!$B$13</c:f>
              <c:strCache>
                <c:ptCount val="1"/>
                <c:pt idx="0">
                  <c:v>&lt;60 </c:v>
                </c:pt>
              </c:strCache>
            </c:strRef>
          </c:tx>
          <c:spPr>
            <a:solidFill>
              <a:schemeClr val="accent3">
                <a:tint val="58000"/>
              </a:schemeClr>
            </a:solidFill>
            <a:ln>
              <a:noFill/>
            </a:ln>
            <a:effectLst/>
          </c:spPr>
          <c:invertIfNegative val="0"/>
          <c:cat>
            <c:strRef>
              <c:f>Pivots!$A$14:$A$19</c:f>
              <c:strCache>
                <c:ptCount val="5"/>
                <c:pt idx="0">
                  <c:v>Rafah</c:v>
                </c:pt>
                <c:pt idx="1">
                  <c:v>Khan Yunis</c:v>
                </c:pt>
                <c:pt idx="2">
                  <c:v>Deir al Balah</c:v>
                </c:pt>
                <c:pt idx="3">
                  <c:v>Gaza</c:v>
                </c:pt>
                <c:pt idx="4">
                  <c:v>North Gaza</c:v>
                </c:pt>
              </c:strCache>
            </c:strRef>
          </c:cat>
          <c:val>
            <c:numRef>
              <c:f>Pivots!$B$14:$B$19</c:f>
              <c:numCache>
                <c:formatCode>General</c:formatCode>
                <c:ptCount val="5"/>
                <c:pt idx="0">
                  <c:v>426.30999999999995</c:v>
                </c:pt>
                <c:pt idx="1">
                  <c:v>300.3</c:v>
                </c:pt>
                <c:pt idx="2">
                  <c:v>3096</c:v>
                </c:pt>
                <c:pt idx="3">
                  <c:v>944</c:v>
                </c:pt>
                <c:pt idx="4">
                  <c:v>36</c:v>
                </c:pt>
              </c:numCache>
            </c:numRef>
          </c:val>
        </c:ser>
        <c:ser>
          <c:idx val="1"/>
          <c:order val="1"/>
          <c:tx>
            <c:strRef>
              <c:f>Pivots!$C$13</c:f>
              <c:strCache>
                <c:ptCount val="1"/>
                <c:pt idx="0">
                  <c:v>60-89 </c:v>
                </c:pt>
              </c:strCache>
            </c:strRef>
          </c:tx>
          <c:spPr>
            <a:solidFill>
              <a:schemeClr val="accent3">
                <a:tint val="86000"/>
              </a:schemeClr>
            </a:solidFill>
            <a:ln>
              <a:noFill/>
            </a:ln>
            <a:effectLst/>
          </c:spPr>
          <c:invertIfNegative val="0"/>
          <c:cat>
            <c:strRef>
              <c:f>Pivots!$A$14:$A$19</c:f>
              <c:strCache>
                <c:ptCount val="5"/>
                <c:pt idx="0">
                  <c:v>Rafah</c:v>
                </c:pt>
                <c:pt idx="1">
                  <c:v>Khan Yunis</c:v>
                </c:pt>
                <c:pt idx="2">
                  <c:v>Deir al Balah</c:v>
                </c:pt>
                <c:pt idx="3">
                  <c:v>Gaza</c:v>
                </c:pt>
                <c:pt idx="4">
                  <c:v>North Gaza</c:v>
                </c:pt>
              </c:strCache>
            </c:strRef>
          </c:cat>
          <c:val>
            <c:numRef>
              <c:f>Pivots!$C$14:$C$19</c:f>
              <c:numCache>
                <c:formatCode>General</c:formatCode>
                <c:ptCount val="5"/>
                <c:pt idx="0">
                  <c:v>927.84</c:v>
                </c:pt>
                <c:pt idx="1">
                  <c:v>1295.76</c:v>
                </c:pt>
                <c:pt idx="2">
                  <c:v>1039</c:v>
                </c:pt>
                <c:pt idx="3">
                  <c:v>900</c:v>
                </c:pt>
                <c:pt idx="4">
                  <c:v>37</c:v>
                </c:pt>
              </c:numCache>
            </c:numRef>
          </c:val>
        </c:ser>
        <c:ser>
          <c:idx val="2"/>
          <c:order val="2"/>
          <c:tx>
            <c:strRef>
              <c:f>Pivots!$D$13</c:f>
              <c:strCache>
                <c:ptCount val="1"/>
                <c:pt idx="0">
                  <c:v>90-119 </c:v>
                </c:pt>
              </c:strCache>
            </c:strRef>
          </c:tx>
          <c:spPr>
            <a:solidFill>
              <a:schemeClr val="accent3">
                <a:shade val="86000"/>
              </a:schemeClr>
            </a:solidFill>
            <a:ln>
              <a:noFill/>
            </a:ln>
            <a:effectLst/>
          </c:spPr>
          <c:invertIfNegative val="0"/>
          <c:cat>
            <c:strRef>
              <c:f>Pivots!$A$14:$A$19</c:f>
              <c:strCache>
                <c:ptCount val="5"/>
                <c:pt idx="0">
                  <c:v>Rafah</c:v>
                </c:pt>
                <c:pt idx="1">
                  <c:v>Khan Yunis</c:v>
                </c:pt>
                <c:pt idx="2">
                  <c:v>Deir al Balah</c:v>
                </c:pt>
                <c:pt idx="3">
                  <c:v>Gaza</c:v>
                </c:pt>
                <c:pt idx="4">
                  <c:v>North Gaza</c:v>
                </c:pt>
              </c:strCache>
            </c:strRef>
          </c:cat>
          <c:val>
            <c:numRef>
              <c:f>Pivots!$D$14:$D$19</c:f>
              <c:numCache>
                <c:formatCode>General</c:formatCode>
                <c:ptCount val="5"/>
                <c:pt idx="0">
                  <c:v>537.91</c:v>
                </c:pt>
                <c:pt idx="1">
                  <c:v>1255.1699999999998</c:v>
                </c:pt>
                <c:pt idx="2">
                  <c:v>516</c:v>
                </c:pt>
                <c:pt idx="3">
                  <c:v>704</c:v>
                </c:pt>
                <c:pt idx="4">
                  <c:v>38</c:v>
                </c:pt>
              </c:numCache>
            </c:numRef>
          </c:val>
        </c:ser>
        <c:ser>
          <c:idx val="3"/>
          <c:order val="3"/>
          <c:tx>
            <c:strRef>
              <c:f>Pivots!$E$13</c:f>
              <c:strCache>
                <c:ptCount val="1"/>
                <c:pt idx="0">
                  <c:v>&gt;120 </c:v>
                </c:pt>
              </c:strCache>
            </c:strRef>
          </c:tx>
          <c:spPr>
            <a:solidFill>
              <a:schemeClr val="accent3">
                <a:shade val="58000"/>
              </a:schemeClr>
            </a:solidFill>
            <a:ln>
              <a:noFill/>
            </a:ln>
            <a:effectLst/>
          </c:spPr>
          <c:invertIfNegative val="0"/>
          <c:cat>
            <c:strRef>
              <c:f>Pivots!$A$14:$A$19</c:f>
              <c:strCache>
                <c:ptCount val="5"/>
                <c:pt idx="0">
                  <c:v>Rafah</c:v>
                </c:pt>
                <c:pt idx="1">
                  <c:v>Khan Yunis</c:v>
                </c:pt>
                <c:pt idx="2">
                  <c:v>Deir al Balah</c:v>
                </c:pt>
                <c:pt idx="3">
                  <c:v>Gaza</c:v>
                </c:pt>
                <c:pt idx="4">
                  <c:v>North Gaza</c:v>
                </c:pt>
              </c:strCache>
            </c:strRef>
          </c:cat>
          <c:val>
            <c:numRef>
              <c:f>Pivots!$E$14:$E$19</c:f>
              <c:numCache>
                <c:formatCode>General</c:formatCode>
                <c:ptCount val="5"/>
                <c:pt idx="0">
                  <c:v>329.20000000000005</c:v>
                </c:pt>
                <c:pt idx="1">
                  <c:v>737.25</c:v>
                </c:pt>
                <c:pt idx="2">
                  <c:v>715</c:v>
                </c:pt>
                <c:pt idx="3">
                  <c:v>1165</c:v>
                </c:pt>
                <c:pt idx="4">
                  <c:v>188</c:v>
                </c:pt>
              </c:numCache>
            </c:numRef>
          </c:val>
        </c:ser>
        <c:dLbls>
          <c:showLegendKey val="0"/>
          <c:showVal val="0"/>
          <c:showCatName val="0"/>
          <c:showSerName val="0"/>
          <c:showPercent val="0"/>
          <c:showBubbleSize val="0"/>
        </c:dLbls>
        <c:gapWidth val="50"/>
        <c:overlap val="100"/>
        <c:axId val="522881928"/>
        <c:axId val="522882712"/>
      </c:barChart>
      <c:catAx>
        <c:axId val="522881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882712"/>
        <c:crosses val="autoZero"/>
        <c:auto val="1"/>
        <c:lblAlgn val="ctr"/>
        <c:lblOffset val="100"/>
        <c:noMultiLvlLbl val="0"/>
      </c:catAx>
      <c:valAx>
        <c:axId val="5228827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881928"/>
        <c:crosses val="autoZero"/>
        <c:crossBetween val="between"/>
      </c:valAx>
      <c:spPr>
        <a:noFill/>
        <a:ln>
          <a:noFill/>
        </a:ln>
        <a:effectLst/>
      </c:spPr>
    </c:plotArea>
    <c:legend>
      <c:legendPos val="r"/>
      <c:layout>
        <c:manualLayout>
          <c:xMode val="edge"/>
          <c:yMode val="edge"/>
          <c:x val="0.87847207778272995"/>
          <c:y val="0.19966404199475066"/>
          <c:w val="0.12152792221727002"/>
          <c:h val="0.6428616422947132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pivotSource>
    <c:name>[Gaza WASH Assessment_raw data_GVC_edited.xlsx]Sheet1!PivotTable31</c:name>
    <c:fmtId val="-1"/>
  </c:pivotSource>
  <c:chart>
    <c:title>
      <c:layout>
        <c:manualLayout>
          <c:xMode val="edge"/>
          <c:yMode val="edge"/>
          <c:x val="0.42516958240142161"/>
          <c:y val="2.0529591059182126E-3"/>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3"/>
          </a:solidFill>
          <a:ln>
            <a:noFill/>
          </a:ln>
          <a:effectLst/>
        </c:spPr>
        <c:marker>
          <c:symbol val="none"/>
        </c:marker>
      </c:pivotFmt>
      <c:pivotFmt>
        <c:idx val="1"/>
        <c:spPr>
          <a:solidFill>
            <a:schemeClr val="accent3"/>
          </a:solidFill>
          <a:ln>
            <a:noFill/>
          </a:ln>
          <a:effectLst/>
        </c:spPr>
        <c:marker>
          <c:symbol val="none"/>
        </c:marker>
      </c:pivotFmt>
      <c:pivotFmt>
        <c:idx val="2"/>
        <c:spPr>
          <a:solidFill>
            <a:schemeClr val="accent3"/>
          </a:solidFill>
          <a:ln>
            <a:noFill/>
          </a:ln>
          <a:effectLst/>
        </c:spPr>
        <c:marker>
          <c:symbol val="none"/>
        </c:marker>
      </c:pivotFmt>
      <c:pivotFmt>
        <c:idx val="3"/>
        <c:spPr>
          <a:solidFill>
            <a:schemeClr val="accent3"/>
          </a:solidFill>
          <a:ln>
            <a:noFill/>
          </a:ln>
          <a:effectLst/>
        </c:spPr>
        <c:marker>
          <c:symbol val="none"/>
        </c:marker>
      </c:pivotFmt>
      <c:pivotFmt>
        <c:idx val="4"/>
        <c:spPr>
          <a:solidFill>
            <a:schemeClr val="accent3"/>
          </a:solidFill>
          <a:ln>
            <a:noFill/>
          </a:ln>
          <a:effectLst/>
        </c:spPr>
        <c:marker>
          <c:symbol val="none"/>
        </c:marker>
      </c:pivotFmt>
      <c:pivotFmt>
        <c:idx val="5"/>
        <c:spPr>
          <a:solidFill>
            <a:schemeClr val="accent3"/>
          </a:solidFill>
          <a:ln>
            <a:noFill/>
          </a:ln>
          <a:effectLst/>
        </c:spPr>
        <c:marker>
          <c:symbol val="none"/>
        </c:marker>
      </c:pivotFmt>
      <c:pivotFmt>
        <c:idx val="6"/>
        <c:spPr>
          <a:solidFill>
            <a:schemeClr val="accent3"/>
          </a:solidFill>
          <a:ln>
            <a:noFill/>
          </a:ln>
          <a:effectLst/>
        </c:spPr>
        <c:marker>
          <c:symbol val="none"/>
        </c:marker>
      </c:pivotFmt>
      <c:pivotFmt>
        <c:idx val="7"/>
        <c:spPr>
          <a:solidFill>
            <a:schemeClr val="accent3"/>
          </a:solidFill>
          <a:ln>
            <a:noFill/>
          </a:ln>
          <a:effectLst/>
        </c:spPr>
        <c:marker>
          <c:symbol val="none"/>
        </c:marker>
      </c:pivotFmt>
      <c:pivotFmt>
        <c:idx val="8"/>
        <c:spPr>
          <a:solidFill>
            <a:schemeClr val="accent3"/>
          </a:solidFill>
          <a:ln>
            <a:noFill/>
          </a:ln>
          <a:effectLst/>
        </c:spPr>
        <c:marker>
          <c:symbol val="none"/>
        </c:marker>
      </c:pivotFmt>
      <c:pivotFmt>
        <c:idx val="9"/>
        <c:spPr>
          <a:solidFill>
            <a:schemeClr val="accent3"/>
          </a:solidFill>
          <a:ln>
            <a:noFill/>
          </a:ln>
          <a:effectLst/>
        </c:spPr>
        <c:marker>
          <c:symbol val="none"/>
        </c:marker>
      </c:pivotFmt>
      <c:pivotFmt>
        <c:idx val="10"/>
        <c:spPr>
          <a:solidFill>
            <a:schemeClr val="accent3"/>
          </a:solidFill>
          <a:ln>
            <a:noFill/>
          </a:ln>
          <a:effectLst/>
        </c:spPr>
        <c:marker>
          <c:symbol val="none"/>
        </c:marker>
      </c:pivotFmt>
      <c:pivotFmt>
        <c:idx val="11"/>
        <c:spPr>
          <a:solidFill>
            <a:schemeClr val="accent3"/>
          </a:solidFill>
          <a:ln>
            <a:noFill/>
          </a:ln>
          <a:effectLst/>
        </c:spPr>
        <c:marker>
          <c:symbol val="none"/>
        </c:marker>
      </c:pivotFmt>
      <c:pivotFmt>
        <c:idx val="12"/>
        <c:spPr>
          <a:solidFill>
            <a:schemeClr val="accent3"/>
          </a:solidFill>
          <a:ln>
            <a:noFill/>
          </a:ln>
          <a:effectLst/>
        </c:spPr>
        <c:marker>
          <c:symbol val="none"/>
        </c:marker>
      </c:pivotFmt>
      <c:pivotFmt>
        <c:idx val="13"/>
        <c:spPr>
          <a:solidFill>
            <a:schemeClr val="accent3"/>
          </a:solidFill>
          <a:ln>
            <a:noFill/>
          </a:ln>
          <a:effectLst/>
        </c:spPr>
        <c:marker>
          <c:symbol val="none"/>
        </c:marker>
      </c:pivotFmt>
      <c:pivotFmt>
        <c:idx val="14"/>
        <c:spPr>
          <a:solidFill>
            <a:schemeClr val="accent3"/>
          </a:solidFill>
          <a:ln>
            <a:noFill/>
          </a:ln>
          <a:effectLst/>
        </c:spPr>
        <c:marker>
          <c:symbol val="none"/>
        </c:marker>
      </c:pivotFmt>
      <c:pivotFmt>
        <c:idx val="15"/>
        <c:spPr>
          <a:solidFill>
            <a:schemeClr val="accent3"/>
          </a:solidFill>
          <a:ln>
            <a:noFill/>
          </a:ln>
          <a:effectLst/>
        </c:spPr>
        <c:marker>
          <c:symbol val="none"/>
        </c:marker>
      </c:pivotFmt>
      <c:pivotFmt>
        <c:idx val="16"/>
        <c:spPr>
          <a:solidFill>
            <a:schemeClr val="accent3"/>
          </a:solidFill>
          <a:ln>
            <a:noFill/>
          </a:ln>
          <a:effectLst/>
        </c:spPr>
        <c:marker>
          <c:symbol val="none"/>
        </c:marker>
      </c:pivotFmt>
      <c:pivotFmt>
        <c:idx val="17"/>
        <c:spPr>
          <a:solidFill>
            <a:schemeClr val="accent3"/>
          </a:solidFill>
          <a:ln>
            <a:noFill/>
          </a:ln>
          <a:effectLst/>
        </c:spPr>
        <c:marker>
          <c:symbol val="none"/>
        </c:marker>
      </c:pivotFmt>
      <c:pivotFmt>
        <c:idx val="18"/>
        <c:spPr>
          <a:solidFill>
            <a:schemeClr val="accent3"/>
          </a:solidFill>
          <a:ln>
            <a:noFill/>
          </a:ln>
          <a:effectLst/>
        </c:spPr>
        <c:marker>
          <c:symbol val="none"/>
        </c:marker>
      </c:pivotFmt>
      <c:pivotFmt>
        <c:idx val="19"/>
        <c:spPr>
          <a:solidFill>
            <a:schemeClr val="accent3"/>
          </a:solidFill>
          <a:ln>
            <a:noFill/>
          </a:ln>
          <a:effectLst/>
        </c:spPr>
        <c:marker>
          <c:symbol val="none"/>
        </c:marker>
      </c:pivotFmt>
      <c:pivotFmt>
        <c:idx val="20"/>
        <c:spPr>
          <a:solidFill>
            <a:schemeClr val="accent3"/>
          </a:solidFill>
          <a:ln>
            <a:noFill/>
          </a:ln>
          <a:effectLst/>
        </c:spPr>
        <c:marker>
          <c:symbol val="none"/>
        </c:marker>
      </c:pivotFmt>
      <c:pivotFmt>
        <c:idx val="21"/>
        <c:spPr>
          <a:solidFill>
            <a:schemeClr val="accent3"/>
          </a:solidFill>
          <a:ln>
            <a:noFill/>
          </a:ln>
          <a:effectLst/>
        </c:spPr>
        <c:marker>
          <c:symbol val="none"/>
        </c:marker>
      </c:pivotFmt>
      <c:pivotFmt>
        <c:idx val="22"/>
        <c:spPr>
          <a:solidFill>
            <a:schemeClr val="accent3"/>
          </a:solidFill>
          <a:ln>
            <a:noFill/>
          </a:ln>
          <a:effectLst/>
        </c:spPr>
        <c:marker>
          <c:symbol val="none"/>
        </c:marker>
      </c:pivotFmt>
      <c:pivotFmt>
        <c:idx val="23"/>
        <c:spPr>
          <a:solidFill>
            <a:schemeClr val="accent3"/>
          </a:solidFill>
          <a:ln>
            <a:noFill/>
          </a:ln>
          <a:effectLst/>
        </c:spPr>
        <c:marker>
          <c:symbol val="none"/>
        </c:marker>
      </c:pivotFmt>
    </c:pivotFmts>
    <c:plotArea>
      <c:layout>
        <c:manualLayout>
          <c:layoutTarget val="inner"/>
          <c:xMode val="edge"/>
          <c:yMode val="edge"/>
          <c:x val="0.24182664910076901"/>
          <c:y val="0.15552197104394211"/>
          <c:w val="0.56727074971659663"/>
          <c:h val="0.68197167894335808"/>
        </c:manualLayout>
      </c:layout>
      <c:barChart>
        <c:barDir val="bar"/>
        <c:grouping val="percentStacked"/>
        <c:varyColors val="0"/>
        <c:ser>
          <c:idx val="0"/>
          <c:order val="0"/>
          <c:tx>
            <c:strRef>
              <c:f>Sheet1!$Q$107:$Q$108</c:f>
              <c:strCache>
                <c:ptCount val="1"/>
                <c:pt idx="0">
                  <c:v>1-25</c:v>
                </c:pt>
              </c:strCache>
            </c:strRef>
          </c:tx>
          <c:spPr>
            <a:solidFill>
              <a:schemeClr val="accent3">
                <a:tint val="46000"/>
              </a:schemeClr>
            </a:solidFill>
            <a:ln>
              <a:noFill/>
            </a:ln>
            <a:effectLst/>
          </c:spPr>
          <c:invertIfNegative val="0"/>
          <c:cat>
            <c:strRef>
              <c:f>Sheet1!$P$109:$P$113</c:f>
              <c:strCache>
                <c:ptCount val="4"/>
                <c:pt idx="0">
                  <c:v>Unaffected</c:v>
                </c:pt>
                <c:pt idx="1">
                  <c:v>IDP</c:v>
                </c:pt>
                <c:pt idx="2">
                  <c:v>War-affected</c:v>
                </c:pt>
                <c:pt idx="3">
                  <c:v>WASH affected</c:v>
                </c:pt>
              </c:strCache>
            </c:strRef>
          </c:cat>
          <c:val>
            <c:numRef>
              <c:f>Sheet1!$Q$109:$Q$113</c:f>
              <c:numCache>
                <c:formatCode>General</c:formatCode>
                <c:ptCount val="4"/>
                <c:pt idx="0">
                  <c:v>134</c:v>
                </c:pt>
                <c:pt idx="1">
                  <c:v>150</c:v>
                </c:pt>
                <c:pt idx="2">
                  <c:v>201</c:v>
                </c:pt>
                <c:pt idx="3">
                  <c:v>220</c:v>
                </c:pt>
              </c:numCache>
            </c:numRef>
          </c:val>
        </c:ser>
        <c:ser>
          <c:idx val="1"/>
          <c:order val="1"/>
          <c:tx>
            <c:strRef>
              <c:f>Sheet1!$R$107:$R$108</c:f>
              <c:strCache>
                <c:ptCount val="1"/>
                <c:pt idx="0">
                  <c:v>26-50</c:v>
                </c:pt>
              </c:strCache>
            </c:strRef>
          </c:tx>
          <c:spPr>
            <a:solidFill>
              <a:schemeClr val="accent3">
                <a:tint val="62000"/>
              </a:schemeClr>
            </a:solidFill>
            <a:ln>
              <a:noFill/>
            </a:ln>
            <a:effectLst/>
          </c:spPr>
          <c:invertIfNegative val="0"/>
          <c:cat>
            <c:strRef>
              <c:f>Sheet1!$P$109:$P$113</c:f>
              <c:strCache>
                <c:ptCount val="4"/>
                <c:pt idx="0">
                  <c:v>Unaffected</c:v>
                </c:pt>
                <c:pt idx="1">
                  <c:v>IDP</c:v>
                </c:pt>
                <c:pt idx="2">
                  <c:v>War-affected</c:v>
                </c:pt>
                <c:pt idx="3">
                  <c:v>WASH affected</c:v>
                </c:pt>
              </c:strCache>
            </c:strRef>
          </c:cat>
          <c:val>
            <c:numRef>
              <c:f>Sheet1!$R$109:$R$113</c:f>
              <c:numCache>
                <c:formatCode>General</c:formatCode>
                <c:ptCount val="4"/>
                <c:pt idx="0">
                  <c:v>37</c:v>
                </c:pt>
                <c:pt idx="1">
                  <c:v>28</c:v>
                </c:pt>
                <c:pt idx="2">
                  <c:v>57</c:v>
                </c:pt>
                <c:pt idx="3">
                  <c:v>40</c:v>
                </c:pt>
              </c:numCache>
            </c:numRef>
          </c:val>
        </c:ser>
        <c:ser>
          <c:idx val="2"/>
          <c:order val="2"/>
          <c:tx>
            <c:strRef>
              <c:f>Sheet1!$S$107:$S$108</c:f>
              <c:strCache>
                <c:ptCount val="1"/>
                <c:pt idx="0">
                  <c:v>51-100</c:v>
                </c:pt>
              </c:strCache>
            </c:strRef>
          </c:tx>
          <c:spPr>
            <a:solidFill>
              <a:schemeClr val="accent3">
                <a:tint val="77000"/>
              </a:schemeClr>
            </a:solidFill>
            <a:ln>
              <a:noFill/>
            </a:ln>
            <a:effectLst/>
          </c:spPr>
          <c:invertIfNegative val="0"/>
          <c:cat>
            <c:strRef>
              <c:f>Sheet1!$P$109:$P$113</c:f>
              <c:strCache>
                <c:ptCount val="4"/>
                <c:pt idx="0">
                  <c:v>Unaffected</c:v>
                </c:pt>
                <c:pt idx="1">
                  <c:v>IDP</c:v>
                </c:pt>
                <c:pt idx="2">
                  <c:v>War-affected</c:v>
                </c:pt>
                <c:pt idx="3">
                  <c:v>WASH affected</c:v>
                </c:pt>
              </c:strCache>
            </c:strRef>
          </c:cat>
          <c:val>
            <c:numRef>
              <c:f>Sheet1!$S$109:$S$113</c:f>
              <c:numCache>
                <c:formatCode>General</c:formatCode>
                <c:ptCount val="4"/>
                <c:pt idx="0">
                  <c:v>17</c:v>
                </c:pt>
                <c:pt idx="1">
                  <c:v>22</c:v>
                </c:pt>
                <c:pt idx="2">
                  <c:v>17</c:v>
                </c:pt>
                <c:pt idx="3">
                  <c:v>20</c:v>
                </c:pt>
              </c:numCache>
            </c:numRef>
          </c:val>
        </c:ser>
        <c:ser>
          <c:idx val="3"/>
          <c:order val="3"/>
          <c:tx>
            <c:strRef>
              <c:f>Sheet1!$T$107:$T$108</c:f>
              <c:strCache>
                <c:ptCount val="1"/>
                <c:pt idx="0">
                  <c:v>101-200</c:v>
                </c:pt>
              </c:strCache>
            </c:strRef>
          </c:tx>
          <c:spPr>
            <a:solidFill>
              <a:schemeClr val="accent3">
                <a:tint val="93000"/>
              </a:schemeClr>
            </a:solidFill>
            <a:ln>
              <a:noFill/>
            </a:ln>
            <a:effectLst/>
          </c:spPr>
          <c:invertIfNegative val="0"/>
          <c:cat>
            <c:strRef>
              <c:f>Sheet1!$P$109:$P$113</c:f>
              <c:strCache>
                <c:ptCount val="4"/>
                <c:pt idx="0">
                  <c:v>Unaffected</c:v>
                </c:pt>
                <c:pt idx="1">
                  <c:v>IDP</c:v>
                </c:pt>
                <c:pt idx="2">
                  <c:v>War-affected</c:v>
                </c:pt>
                <c:pt idx="3">
                  <c:v>WASH affected</c:v>
                </c:pt>
              </c:strCache>
            </c:strRef>
          </c:cat>
          <c:val>
            <c:numRef>
              <c:f>Sheet1!$T$109:$T$113</c:f>
              <c:numCache>
                <c:formatCode>General</c:formatCode>
                <c:ptCount val="4"/>
                <c:pt idx="0">
                  <c:v>83</c:v>
                </c:pt>
                <c:pt idx="1">
                  <c:v>86</c:v>
                </c:pt>
                <c:pt idx="2">
                  <c:v>98</c:v>
                </c:pt>
                <c:pt idx="3">
                  <c:v>98</c:v>
                </c:pt>
              </c:numCache>
            </c:numRef>
          </c:val>
        </c:ser>
        <c:ser>
          <c:idx val="4"/>
          <c:order val="4"/>
          <c:tx>
            <c:strRef>
              <c:f>Sheet1!$U$107:$U$108</c:f>
              <c:strCache>
                <c:ptCount val="1"/>
                <c:pt idx="0">
                  <c:v>201-400</c:v>
                </c:pt>
              </c:strCache>
            </c:strRef>
          </c:tx>
          <c:spPr>
            <a:solidFill>
              <a:schemeClr val="accent3">
                <a:shade val="92000"/>
              </a:schemeClr>
            </a:solidFill>
            <a:ln>
              <a:noFill/>
            </a:ln>
            <a:effectLst/>
          </c:spPr>
          <c:invertIfNegative val="0"/>
          <c:cat>
            <c:strRef>
              <c:f>Sheet1!$P$109:$P$113</c:f>
              <c:strCache>
                <c:ptCount val="4"/>
                <c:pt idx="0">
                  <c:v>Unaffected</c:v>
                </c:pt>
                <c:pt idx="1">
                  <c:v>IDP</c:v>
                </c:pt>
                <c:pt idx="2">
                  <c:v>War-affected</c:v>
                </c:pt>
                <c:pt idx="3">
                  <c:v>WASH affected</c:v>
                </c:pt>
              </c:strCache>
            </c:strRef>
          </c:cat>
          <c:val>
            <c:numRef>
              <c:f>Sheet1!$U$109:$U$113</c:f>
              <c:numCache>
                <c:formatCode>General</c:formatCode>
                <c:ptCount val="4"/>
                <c:pt idx="0">
                  <c:v>244</c:v>
                </c:pt>
                <c:pt idx="1">
                  <c:v>165</c:v>
                </c:pt>
                <c:pt idx="2">
                  <c:v>220</c:v>
                </c:pt>
                <c:pt idx="3">
                  <c:v>202</c:v>
                </c:pt>
              </c:numCache>
            </c:numRef>
          </c:val>
        </c:ser>
        <c:ser>
          <c:idx val="5"/>
          <c:order val="5"/>
          <c:tx>
            <c:strRef>
              <c:f>Sheet1!$V$107:$V$108</c:f>
              <c:strCache>
                <c:ptCount val="1"/>
                <c:pt idx="0">
                  <c:v>401-500</c:v>
                </c:pt>
              </c:strCache>
            </c:strRef>
          </c:tx>
          <c:spPr>
            <a:solidFill>
              <a:schemeClr val="accent3">
                <a:shade val="76000"/>
              </a:schemeClr>
            </a:solidFill>
            <a:ln>
              <a:noFill/>
            </a:ln>
            <a:effectLst/>
          </c:spPr>
          <c:invertIfNegative val="0"/>
          <c:cat>
            <c:strRef>
              <c:f>Sheet1!$P$109:$P$113</c:f>
              <c:strCache>
                <c:ptCount val="4"/>
                <c:pt idx="0">
                  <c:v>Unaffected</c:v>
                </c:pt>
                <c:pt idx="1">
                  <c:v>IDP</c:v>
                </c:pt>
                <c:pt idx="2">
                  <c:v>War-affected</c:v>
                </c:pt>
                <c:pt idx="3">
                  <c:v>WASH affected</c:v>
                </c:pt>
              </c:strCache>
            </c:strRef>
          </c:cat>
          <c:val>
            <c:numRef>
              <c:f>Sheet1!$V$109:$V$113</c:f>
              <c:numCache>
                <c:formatCode>General</c:formatCode>
                <c:ptCount val="4"/>
                <c:pt idx="0">
                  <c:v>214</c:v>
                </c:pt>
                <c:pt idx="1">
                  <c:v>124</c:v>
                </c:pt>
                <c:pt idx="2">
                  <c:v>294</c:v>
                </c:pt>
                <c:pt idx="3">
                  <c:v>202</c:v>
                </c:pt>
              </c:numCache>
            </c:numRef>
          </c:val>
        </c:ser>
        <c:ser>
          <c:idx val="6"/>
          <c:order val="6"/>
          <c:tx>
            <c:strRef>
              <c:f>Sheet1!$W$107:$W$108</c:f>
              <c:strCache>
                <c:ptCount val="1"/>
                <c:pt idx="0">
                  <c:v>501-1000</c:v>
                </c:pt>
              </c:strCache>
            </c:strRef>
          </c:tx>
          <c:spPr>
            <a:solidFill>
              <a:schemeClr val="accent3">
                <a:shade val="61000"/>
              </a:schemeClr>
            </a:solidFill>
            <a:ln>
              <a:noFill/>
            </a:ln>
            <a:effectLst/>
          </c:spPr>
          <c:invertIfNegative val="0"/>
          <c:cat>
            <c:strRef>
              <c:f>Sheet1!$P$109:$P$113</c:f>
              <c:strCache>
                <c:ptCount val="4"/>
                <c:pt idx="0">
                  <c:v>Unaffected</c:v>
                </c:pt>
                <c:pt idx="1">
                  <c:v>IDP</c:v>
                </c:pt>
                <c:pt idx="2">
                  <c:v>War-affected</c:v>
                </c:pt>
                <c:pt idx="3">
                  <c:v>WASH affected</c:v>
                </c:pt>
              </c:strCache>
            </c:strRef>
          </c:cat>
          <c:val>
            <c:numRef>
              <c:f>Sheet1!$W$109:$W$113</c:f>
              <c:numCache>
                <c:formatCode>General</c:formatCode>
                <c:ptCount val="4"/>
                <c:pt idx="0">
                  <c:v>41</c:v>
                </c:pt>
                <c:pt idx="1">
                  <c:v>27</c:v>
                </c:pt>
                <c:pt idx="2">
                  <c:v>60</c:v>
                </c:pt>
                <c:pt idx="3">
                  <c:v>40</c:v>
                </c:pt>
              </c:numCache>
            </c:numRef>
          </c:val>
        </c:ser>
        <c:ser>
          <c:idx val="7"/>
          <c:order val="7"/>
          <c:tx>
            <c:strRef>
              <c:f>Sheet1!$X$107:$X$108</c:f>
              <c:strCache>
                <c:ptCount val="1"/>
                <c:pt idx="0">
                  <c:v>1000+</c:v>
                </c:pt>
              </c:strCache>
            </c:strRef>
          </c:tx>
          <c:spPr>
            <a:solidFill>
              <a:schemeClr val="accent3">
                <a:shade val="45000"/>
              </a:schemeClr>
            </a:solidFill>
            <a:ln>
              <a:noFill/>
            </a:ln>
            <a:effectLst/>
          </c:spPr>
          <c:invertIfNegative val="0"/>
          <c:cat>
            <c:strRef>
              <c:f>Sheet1!$P$109:$P$113</c:f>
              <c:strCache>
                <c:ptCount val="4"/>
                <c:pt idx="0">
                  <c:v>Unaffected</c:v>
                </c:pt>
                <c:pt idx="1">
                  <c:v>IDP</c:v>
                </c:pt>
                <c:pt idx="2">
                  <c:v>War-affected</c:v>
                </c:pt>
                <c:pt idx="3">
                  <c:v>WASH affected</c:v>
                </c:pt>
              </c:strCache>
            </c:strRef>
          </c:cat>
          <c:val>
            <c:numRef>
              <c:f>Sheet1!$X$109:$X$113</c:f>
              <c:numCache>
                <c:formatCode>General</c:formatCode>
                <c:ptCount val="4"/>
                <c:pt idx="0">
                  <c:v>10</c:v>
                </c:pt>
                <c:pt idx="1">
                  <c:v>3</c:v>
                </c:pt>
                <c:pt idx="2">
                  <c:v>7</c:v>
                </c:pt>
                <c:pt idx="3">
                  <c:v>5</c:v>
                </c:pt>
              </c:numCache>
            </c:numRef>
          </c:val>
        </c:ser>
        <c:dLbls>
          <c:showLegendKey val="0"/>
          <c:showVal val="0"/>
          <c:showCatName val="0"/>
          <c:showSerName val="0"/>
          <c:showPercent val="0"/>
          <c:showBubbleSize val="0"/>
        </c:dLbls>
        <c:gapWidth val="50"/>
        <c:overlap val="100"/>
        <c:axId val="531213152"/>
        <c:axId val="531211976"/>
      </c:barChart>
      <c:catAx>
        <c:axId val="531213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211976"/>
        <c:crosses val="autoZero"/>
        <c:auto val="1"/>
        <c:lblAlgn val="ctr"/>
        <c:lblOffset val="0"/>
        <c:noMultiLvlLbl val="0"/>
      </c:catAx>
      <c:valAx>
        <c:axId val="5312119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213152"/>
        <c:crosses val="autoZero"/>
        <c:crossBetween val="between"/>
        <c:majorUnit val="0.2"/>
      </c:valAx>
      <c:spPr>
        <a:noFill/>
        <a:ln>
          <a:noFill/>
        </a:ln>
        <a:effectLst/>
      </c:spPr>
    </c:plotArea>
    <c:legend>
      <c:legendPos val="r"/>
      <c:layout>
        <c:manualLayout>
          <c:xMode val="edge"/>
          <c:yMode val="edge"/>
          <c:x val="0.8409914519439935"/>
          <c:y val="6.6330962661925327E-2"/>
          <c:w val="0.15605424321959754"/>
          <c:h val="0.8619092613423322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latin typeface="+mn-lt"/>
              </a:rPr>
              <a:t>IDP HHs:</a:t>
            </a:r>
            <a:r>
              <a:rPr lang="en-US" sz="1050" baseline="0">
                <a:latin typeface="+mn-lt"/>
              </a:rPr>
              <a:t> availability of drinking water storage</a:t>
            </a:r>
            <a:endParaRPr lang="en-US" sz="1050">
              <a:latin typeface="+mn-lt"/>
            </a:endParaRPr>
          </a:p>
        </c:rich>
      </c:tx>
      <c:layout>
        <c:manualLayout>
          <c:xMode val="edge"/>
          <c:yMode val="edge"/>
          <c:x val="0.15639083750894775"/>
          <c:y val="2.1897810218978103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09193987115247"/>
          <c:y val="0.18137996436576814"/>
          <c:w val="0.56439526955682262"/>
          <c:h val="0.64214673747176942"/>
        </c:manualLayout>
      </c:layout>
      <c:barChart>
        <c:barDir val="bar"/>
        <c:grouping val="percentStacked"/>
        <c:varyColors val="0"/>
        <c:ser>
          <c:idx val="1"/>
          <c:order val="0"/>
          <c:tx>
            <c:strRef>
              <c:f>DrinkStor!$F$3</c:f>
              <c:strCache>
                <c:ptCount val="1"/>
                <c:pt idx="0">
                  <c:v>% w/out drinking storage</c:v>
                </c:pt>
              </c:strCache>
            </c:strRef>
          </c:tx>
          <c:spPr>
            <a:solidFill>
              <a:srgbClr val="FF0000"/>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DrinkStor!$D$4:$D$9</c:f>
              <c:strCache>
                <c:ptCount val="6"/>
                <c:pt idx="0">
                  <c:v>Average</c:v>
                </c:pt>
                <c:pt idx="1">
                  <c:v>Rafah</c:v>
                </c:pt>
                <c:pt idx="2">
                  <c:v>Khan Yunis</c:v>
                </c:pt>
                <c:pt idx="3">
                  <c:v>Deir al-Balah</c:v>
                </c:pt>
                <c:pt idx="4">
                  <c:v>Gaza</c:v>
                </c:pt>
                <c:pt idx="5">
                  <c:v>North Gaza</c:v>
                </c:pt>
              </c:strCache>
            </c:strRef>
          </c:cat>
          <c:val>
            <c:numRef>
              <c:f>DrinkStor!$F$4:$F$9</c:f>
              <c:numCache>
                <c:formatCode>0.0%</c:formatCode>
                <c:ptCount val="6"/>
                <c:pt idx="0">
                  <c:v>0.40224298444828699</c:v>
                </c:pt>
                <c:pt idx="1">
                  <c:v>0.49137451307735103</c:v>
                </c:pt>
                <c:pt idx="2">
                  <c:v>0.69969040247678005</c:v>
                </c:pt>
                <c:pt idx="3">
                  <c:v>0.27176134041683697</c:v>
                </c:pt>
                <c:pt idx="4">
                  <c:v>0.26020745972191595</c:v>
                </c:pt>
                <c:pt idx="5">
                  <c:v>0.28818120654855295</c:v>
                </c:pt>
              </c:numCache>
            </c:numRef>
          </c:val>
        </c:ser>
        <c:ser>
          <c:idx val="0"/>
          <c:order val="1"/>
          <c:tx>
            <c:strRef>
              <c:f>DrinkStor!$E$3</c:f>
              <c:strCache>
                <c:ptCount val="1"/>
                <c:pt idx="0">
                  <c:v>% w drinking storage</c:v>
                </c:pt>
              </c:strCache>
            </c:strRef>
          </c:tx>
          <c:spPr>
            <a:solidFill>
              <a:srgbClr val="92D050"/>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DrinkStor!$D$4:$D$9</c:f>
              <c:strCache>
                <c:ptCount val="6"/>
                <c:pt idx="0">
                  <c:v>Average</c:v>
                </c:pt>
                <c:pt idx="1">
                  <c:v>Rafah</c:v>
                </c:pt>
                <c:pt idx="2">
                  <c:v>Khan Yunis</c:v>
                </c:pt>
                <c:pt idx="3">
                  <c:v>Deir al-Balah</c:v>
                </c:pt>
                <c:pt idx="4">
                  <c:v>Gaza</c:v>
                </c:pt>
                <c:pt idx="5">
                  <c:v>North Gaza</c:v>
                </c:pt>
              </c:strCache>
            </c:strRef>
          </c:cat>
          <c:val>
            <c:numRef>
              <c:f>DrinkStor!$E$4:$E$9</c:f>
              <c:numCache>
                <c:formatCode>0.0%</c:formatCode>
                <c:ptCount val="6"/>
                <c:pt idx="0">
                  <c:v>0.59775701555171301</c:v>
                </c:pt>
                <c:pt idx="1">
                  <c:v>0.50862548692264897</c:v>
                </c:pt>
                <c:pt idx="2">
                  <c:v>0.30030959752322001</c:v>
                </c:pt>
                <c:pt idx="3">
                  <c:v>0.72823865958316303</c:v>
                </c:pt>
                <c:pt idx="4">
                  <c:v>0.73979254027808405</c:v>
                </c:pt>
                <c:pt idx="5">
                  <c:v>0.71181879345144705</c:v>
                </c:pt>
              </c:numCache>
            </c:numRef>
          </c:val>
        </c:ser>
        <c:dLbls>
          <c:showLegendKey val="0"/>
          <c:showVal val="0"/>
          <c:showCatName val="0"/>
          <c:showSerName val="0"/>
          <c:showPercent val="0"/>
          <c:showBubbleSize val="0"/>
        </c:dLbls>
        <c:gapWidth val="50"/>
        <c:overlap val="100"/>
        <c:axId val="531210016"/>
        <c:axId val="531214328"/>
      </c:barChart>
      <c:catAx>
        <c:axId val="531210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214328"/>
        <c:crosses val="autoZero"/>
        <c:auto val="1"/>
        <c:lblAlgn val="ctr"/>
        <c:lblOffset val="100"/>
        <c:noMultiLvlLbl val="0"/>
      </c:catAx>
      <c:valAx>
        <c:axId val="53121432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210016"/>
        <c:crosses val="autoZero"/>
        <c:crossBetween val="between"/>
        <c:majorUnit val="0.2"/>
      </c:valAx>
      <c:spPr>
        <a:noFill/>
        <a:ln>
          <a:noFill/>
        </a:ln>
        <a:effectLst/>
      </c:spPr>
    </c:plotArea>
    <c:legend>
      <c:legendPos val="r"/>
      <c:layout>
        <c:manualLayout>
          <c:xMode val="edge"/>
          <c:yMode val="edge"/>
          <c:x val="0.81388149757142425"/>
          <c:y val="0.18263382774827566"/>
          <c:w val="0.18228708480405464"/>
          <c:h val="0.585274980162363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[Gaza WASH Assessment_raw data_GVC_edited.xlsx]Pivots!PivotTable63</c:name>
    <c:fmtId val="-1"/>
  </c:pivotSource>
  <c:chart>
    <c:title>
      <c:layout>
        <c:manualLayout>
          <c:xMode val="edge"/>
          <c:yMode val="edge"/>
          <c:x val="0.42709711286089241"/>
          <c:y val="3.1620566481203607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s>
    <c:plotArea>
      <c:layout>
        <c:manualLayout>
          <c:layoutTarget val="inner"/>
          <c:xMode val="edge"/>
          <c:yMode val="edge"/>
          <c:x val="0.2064695609546861"/>
          <c:y val="0.23449380148236187"/>
          <c:w val="0.66157480314960626"/>
          <c:h val="0.61290017993033885"/>
        </c:manualLayout>
      </c:layout>
      <c:barChart>
        <c:barDir val="bar"/>
        <c:grouping val="percentStacked"/>
        <c:varyColors val="0"/>
        <c:ser>
          <c:idx val="0"/>
          <c:order val="0"/>
          <c:tx>
            <c:strRef>
              <c:f>Pivots!$B$224:$B$225</c:f>
              <c:strCache>
                <c:ptCount val="1"/>
                <c:pt idx="0">
                  <c:v>0</c:v>
                </c:pt>
              </c:strCache>
            </c:strRef>
          </c:tx>
          <c:spPr>
            <a:solidFill>
              <a:schemeClr val="accent6">
                <a:lumMod val="75000"/>
              </a:schemeClr>
            </a:solidFill>
            <a:ln>
              <a:noFill/>
            </a:ln>
            <a:effectLst/>
          </c:spPr>
          <c:invertIfNegative val="0"/>
          <c:cat>
            <c:strRef>
              <c:f>Pivots!$A$226:$A$231</c:f>
              <c:strCache>
                <c:ptCount val="5"/>
                <c:pt idx="0">
                  <c:v>Rafah</c:v>
                </c:pt>
                <c:pt idx="1">
                  <c:v>Khan Yunis</c:v>
                </c:pt>
                <c:pt idx="2">
                  <c:v>Middle</c:v>
                </c:pt>
                <c:pt idx="3">
                  <c:v>Gaza</c:v>
                </c:pt>
                <c:pt idx="4">
                  <c:v>North</c:v>
                </c:pt>
              </c:strCache>
            </c:strRef>
          </c:cat>
          <c:val>
            <c:numRef>
              <c:f>Pivots!$B$226:$B$231</c:f>
              <c:numCache>
                <c:formatCode>General</c:formatCode>
                <c:ptCount val="5"/>
                <c:pt idx="0">
                  <c:v>69</c:v>
                </c:pt>
                <c:pt idx="1">
                  <c:v>38</c:v>
                </c:pt>
                <c:pt idx="2">
                  <c:v>43</c:v>
                </c:pt>
                <c:pt idx="3">
                  <c:v>59</c:v>
                </c:pt>
                <c:pt idx="4">
                  <c:v>53</c:v>
                </c:pt>
              </c:numCache>
            </c:numRef>
          </c:val>
        </c:ser>
        <c:ser>
          <c:idx val="1"/>
          <c:order val="1"/>
          <c:tx>
            <c:strRef>
              <c:f>Pivots!$C$224:$C$225</c:f>
              <c:strCache>
                <c:ptCount val="1"/>
                <c:pt idx="0">
                  <c:v>1</c:v>
                </c:pt>
              </c:strCache>
            </c:strRef>
          </c:tx>
          <c:spPr>
            <a:solidFill>
              <a:schemeClr val="accent5">
                <a:lumMod val="60000"/>
                <a:lumOff val="40000"/>
              </a:schemeClr>
            </a:solidFill>
            <a:ln>
              <a:noFill/>
            </a:ln>
            <a:effectLst/>
          </c:spPr>
          <c:invertIfNegative val="0"/>
          <c:cat>
            <c:strRef>
              <c:f>Pivots!$A$226:$A$231</c:f>
              <c:strCache>
                <c:ptCount val="5"/>
                <c:pt idx="0">
                  <c:v>Rafah</c:v>
                </c:pt>
                <c:pt idx="1">
                  <c:v>Khan Yunis</c:v>
                </c:pt>
                <c:pt idx="2">
                  <c:v>Middle</c:v>
                </c:pt>
                <c:pt idx="3">
                  <c:v>Gaza</c:v>
                </c:pt>
                <c:pt idx="4">
                  <c:v>North</c:v>
                </c:pt>
              </c:strCache>
            </c:strRef>
          </c:cat>
          <c:val>
            <c:numRef>
              <c:f>Pivots!$C$226:$C$231</c:f>
              <c:numCache>
                <c:formatCode>General</c:formatCode>
                <c:ptCount val="5"/>
                <c:pt idx="0">
                  <c:v>464</c:v>
                </c:pt>
                <c:pt idx="1">
                  <c:v>579</c:v>
                </c:pt>
                <c:pt idx="2">
                  <c:v>391</c:v>
                </c:pt>
                <c:pt idx="3">
                  <c:v>847</c:v>
                </c:pt>
                <c:pt idx="4">
                  <c:v>623</c:v>
                </c:pt>
              </c:numCache>
            </c:numRef>
          </c:val>
        </c:ser>
        <c:dLbls>
          <c:showLegendKey val="0"/>
          <c:showVal val="0"/>
          <c:showCatName val="0"/>
          <c:showSerName val="0"/>
          <c:showPercent val="0"/>
          <c:showBubbleSize val="0"/>
        </c:dLbls>
        <c:gapWidth val="50"/>
        <c:overlap val="100"/>
        <c:axId val="531214720"/>
        <c:axId val="531217464"/>
      </c:barChart>
      <c:catAx>
        <c:axId val="531214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217464"/>
        <c:crosses val="autoZero"/>
        <c:auto val="1"/>
        <c:lblAlgn val="ctr"/>
        <c:lblOffset val="100"/>
        <c:noMultiLvlLbl val="0"/>
      </c:catAx>
      <c:valAx>
        <c:axId val="5312174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2147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[Gaza WASH Assessment_raw data_GVC_edited.xlsx]Pivots!PivotTable51</c:name>
    <c:fmtId val="-1"/>
  </c:pivotSource>
  <c:chart>
    <c:title>
      <c:layout>
        <c:manualLayout>
          <c:xMode val="edge"/>
          <c:yMode val="edge"/>
          <c:x val="0.43659017425776098"/>
          <c:y val="1.4298484810956018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s>
    <c:plotArea>
      <c:layout>
        <c:manualLayout>
          <c:layoutTarget val="inner"/>
          <c:xMode val="edge"/>
          <c:yMode val="edge"/>
          <c:x val="8.3798170088552032E-2"/>
          <c:y val="0.18180523437130575"/>
          <c:w val="0.79688258885863561"/>
          <c:h val="0.6523447263360076"/>
        </c:manualLayout>
      </c:layout>
      <c:barChart>
        <c:barDir val="bar"/>
        <c:grouping val="percentStacked"/>
        <c:varyColors val="0"/>
        <c:ser>
          <c:idx val="0"/>
          <c:order val="0"/>
          <c:tx>
            <c:strRef>
              <c:f>Pivots!$AF$224:$AF$225</c:f>
              <c:strCache>
                <c:ptCount val="1"/>
                <c:pt idx="0">
                  <c:v>0</c:v>
                </c:pt>
              </c:strCache>
            </c:strRef>
          </c:tx>
          <c:spPr>
            <a:solidFill>
              <a:schemeClr val="accent6">
                <a:lumMod val="75000"/>
              </a:schemeClr>
            </a:solidFill>
            <a:ln>
              <a:noFill/>
            </a:ln>
            <a:effectLst/>
          </c:spPr>
          <c:invertIfNegative val="0"/>
          <c:cat>
            <c:strRef>
              <c:f>Pivots!$AE$226:$AE$231</c:f>
              <c:strCache>
                <c:ptCount val="5"/>
                <c:pt idx="0">
                  <c:v>1</c:v>
                </c:pt>
                <c:pt idx="1">
                  <c:v>2</c:v>
                </c:pt>
                <c:pt idx="2">
                  <c:v>3</c:v>
                </c:pt>
                <c:pt idx="3">
                  <c:v>4</c:v>
                </c:pt>
                <c:pt idx="4">
                  <c:v>5</c:v>
                </c:pt>
              </c:strCache>
            </c:strRef>
          </c:cat>
          <c:val>
            <c:numRef>
              <c:f>Pivots!$AF$226:$AF$231</c:f>
              <c:numCache>
                <c:formatCode>0.00%</c:formatCode>
                <c:ptCount val="5"/>
                <c:pt idx="0">
                  <c:v>0.10799136069114471</c:v>
                </c:pt>
                <c:pt idx="1">
                  <c:v>9.0909090909090912E-2</c:v>
                </c:pt>
                <c:pt idx="2">
                  <c:v>8.6705202312138727E-2</c:v>
                </c:pt>
                <c:pt idx="3">
                  <c:v>6.8669527896995708E-2</c:v>
                </c:pt>
                <c:pt idx="4">
                  <c:v>5.8902275769745646E-2</c:v>
                </c:pt>
              </c:numCache>
            </c:numRef>
          </c:val>
        </c:ser>
        <c:ser>
          <c:idx val="1"/>
          <c:order val="1"/>
          <c:tx>
            <c:strRef>
              <c:f>Pivots!$AG$224:$AG$225</c:f>
              <c:strCache>
                <c:ptCount val="1"/>
                <c:pt idx="0">
                  <c:v>1</c:v>
                </c:pt>
              </c:strCache>
            </c:strRef>
          </c:tx>
          <c:spPr>
            <a:solidFill>
              <a:schemeClr val="accent4">
                <a:lumMod val="60000"/>
                <a:lumOff val="40000"/>
              </a:schemeClr>
            </a:solidFill>
            <a:ln>
              <a:noFill/>
            </a:ln>
            <a:effectLst/>
          </c:spPr>
          <c:invertIfNegative val="0"/>
          <c:cat>
            <c:strRef>
              <c:f>Pivots!$AE$226:$AE$231</c:f>
              <c:strCache>
                <c:ptCount val="5"/>
                <c:pt idx="0">
                  <c:v>1</c:v>
                </c:pt>
                <c:pt idx="1">
                  <c:v>2</c:v>
                </c:pt>
                <c:pt idx="2">
                  <c:v>3</c:v>
                </c:pt>
                <c:pt idx="3">
                  <c:v>4</c:v>
                </c:pt>
                <c:pt idx="4">
                  <c:v>5</c:v>
                </c:pt>
              </c:strCache>
            </c:strRef>
          </c:cat>
          <c:val>
            <c:numRef>
              <c:f>Pivots!$AG$226:$AG$231</c:f>
              <c:numCache>
                <c:formatCode>0.00%</c:formatCode>
                <c:ptCount val="5"/>
                <c:pt idx="0">
                  <c:v>0.89200863930885532</c:v>
                </c:pt>
                <c:pt idx="1">
                  <c:v>0.90909090909090906</c:v>
                </c:pt>
                <c:pt idx="2">
                  <c:v>0.91329479768786126</c:v>
                </c:pt>
                <c:pt idx="3">
                  <c:v>0.93133047210300424</c:v>
                </c:pt>
                <c:pt idx="4">
                  <c:v>0.9410977242302544</c:v>
                </c:pt>
              </c:numCache>
            </c:numRef>
          </c:val>
        </c:ser>
        <c:dLbls>
          <c:showLegendKey val="0"/>
          <c:showVal val="0"/>
          <c:showCatName val="0"/>
          <c:showSerName val="0"/>
          <c:showPercent val="0"/>
          <c:showBubbleSize val="0"/>
        </c:dLbls>
        <c:gapWidth val="50"/>
        <c:overlap val="100"/>
        <c:axId val="522644232"/>
        <c:axId val="531309144"/>
      </c:barChart>
      <c:catAx>
        <c:axId val="522644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309144"/>
        <c:crosses val="autoZero"/>
        <c:auto val="1"/>
        <c:lblAlgn val="ctr"/>
        <c:lblOffset val="100"/>
        <c:noMultiLvlLbl val="0"/>
      </c:catAx>
      <c:valAx>
        <c:axId val="5313091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6442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0" i="0" baseline="0">
                <a:effectLst/>
              </a:rPr>
              <a:t>% IDP HHs Unconnected to Sewerage Networks</a:t>
            </a:r>
            <a:endParaRPr lang="en-US" sz="1100">
              <a:effectLst/>
            </a:endParaRPr>
          </a:p>
        </c:rich>
      </c:tx>
      <c:layout>
        <c:manualLayout>
          <c:xMode val="edge"/>
          <c:yMode val="edge"/>
          <c:x val="0.14964026682367254"/>
          <c:y val="1.3540961408259987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599686850976002"/>
          <c:y val="0.28723340856860052"/>
          <c:w val="0.65963566716322619"/>
          <c:h val="0.48162946573827031"/>
        </c:manualLayout>
      </c:layout>
      <c:barChart>
        <c:barDir val="col"/>
        <c:grouping val="percentStacked"/>
        <c:varyColors val="0"/>
        <c:ser>
          <c:idx val="1"/>
          <c:order val="0"/>
          <c:tx>
            <c:strRef>
              <c:f>Sewerage!$F$3</c:f>
              <c:strCache>
                <c:ptCount val="1"/>
                <c:pt idx="0">
                  <c:v>% w/out Sewerage</c:v>
                </c:pt>
              </c:strCache>
            </c:strRef>
          </c:tx>
          <c:spPr>
            <a:solidFill>
              <a:srgbClr val="FF0000"/>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Sewerage!$D$4:$D$9</c:f>
              <c:strCache>
                <c:ptCount val="6"/>
                <c:pt idx="0">
                  <c:v>North Gaza</c:v>
                </c:pt>
                <c:pt idx="1">
                  <c:v>Gaza</c:v>
                </c:pt>
                <c:pt idx="2">
                  <c:v>Deir al-Balah</c:v>
                </c:pt>
                <c:pt idx="3">
                  <c:v>Khan Yunis</c:v>
                </c:pt>
                <c:pt idx="4">
                  <c:v>Rafah</c:v>
                </c:pt>
                <c:pt idx="5">
                  <c:v>Average</c:v>
                </c:pt>
              </c:strCache>
            </c:strRef>
          </c:cat>
          <c:val>
            <c:numRef>
              <c:f>Sewerage!$F$4:$F$9</c:f>
              <c:numCache>
                <c:formatCode>0%</c:formatCode>
                <c:ptCount val="6"/>
                <c:pt idx="0">
                  <c:v>6.3018614039021981E-2</c:v>
                </c:pt>
                <c:pt idx="1">
                  <c:v>6.1355109247406947E-2</c:v>
                </c:pt>
                <c:pt idx="2">
                  <c:v>0.28851655087862704</c:v>
                </c:pt>
                <c:pt idx="3">
                  <c:v>0.69005847953216404</c:v>
                </c:pt>
                <c:pt idx="4">
                  <c:v>0.30606566499721699</c:v>
                </c:pt>
                <c:pt idx="5">
                  <c:v>0.28180288373888696</c:v>
                </c:pt>
              </c:numCache>
            </c:numRef>
          </c:val>
        </c:ser>
        <c:ser>
          <c:idx val="0"/>
          <c:order val="1"/>
          <c:tx>
            <c:strRef>
              <c:f>Sewerage!$E$3</c:f>
              <c:strCache>
                <c:ptCount val="1"/>
                <c:pt idx="0">
                  <c:v>% w Sewerage</c:v>
                </c:pt>
              </c:strCache>
              <c:extLst xmlns:c15="http://schemas.microsoft.com/office/drawing/2012/chart"/>
            </c:strRef>
          </c:tx>
          <c:spPr>
            <a:solidFill>
              <a:schemeClr val="accent5">
                <a:lumMod val="60000"/>
                <a:lumOff val="40000"/>
              </a:schemeClr>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Sewerage!$D$4:$D$9</c:f>
              <c:strCache>
                <c:ptCount val="6"/>
                <c:pt idx="0">
                  <c:v>North Gaza</c:v>
                </c:pt>
                <c:pt idx="1">
                  <c:v>Gaza</c:v>
                </c:pt>
                <c:pt idx="2">
                  <c:v>Deir al-Balah</c:v>
                </c:pt>
                <c:pt idx="3">
                  <c:v>Khan Yunis</c:v>
                </c:pt>
                <c:pt idx="4">
                  <c:v>Rafah</c:v>
                </c:pt>
                <c:pt idx="5">
                  <c:v>Average</c:v>
                </c:pt>
              </c:strCache>
              <c:extLst xmlns:c15="http://schemas.microsoft.com/office/drawing/2012/chart"/>
            </c:strRef>
          </c:cat>
          <c:val>
            <c:numRef>
              <c:f>Sewerage!$E$4:$E$9</c:f>
              <c:numCache>
                <c:formatCode>0%</c:formatCode>
                <c:ptCount val="6"/>
                <c:pt idx="0">
                  <c:v>0.93698138596097802</c:v>
                </c:pt>
                <c:pt idx="1">
                  <c:v>0.93864489075259305</c:v>
                </c:pt>
                <c:pt idx="2">
                  <c:v>0.71148344912137296</c:v>
                </c:pt>
                <c:pt idx="3">
                  <c:v>0.30994152046783602</c:v>
                </c:pt>
                <c:pt idx="4">
                  <c:v>0.69393433500278301</c:v>
                </c:pt>
                <c:pt idx="5">
                  <c:v>0.71819711626111304</c:v>
                </c:pt>
              </c:numCache>
              <c:extLst xmlns:c15="http://schemas.microsoft.com/office/drawing/2012/chart"/>
            </c:numRef>
          </c:val>
        </c:ser>
        <c:dLbls>
          <c:showLegendKey val="0"/>
          <c:showVal val="0"/>
          <c:showCatName val="0"/>
          <c:showSerName val="0"/>
          <c:showPercent val="0"/>
          <c:showBubbleSize val="0"/>
        </c:dLbls>
        <c:gapWidth val="150"/>
        <c:overlap val="100"/>
        <c:axId val="531312672"/>
        <c:axId val="531314632"/>
        <c:extLst/>
      </c:barChart>
      <c:catAx>
        <c:axId val="53131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31314632"/>
        <c:crosses val="autoZero"/>
        <c:auto val="1"/>
        <c:lblAlgn val="ctr"/>
        <c:lblOffset val="100"/>
        <c:noMultiLvlLbl val="0"/>
      </c:catAx>
      <c:valAx>
        <c:axId val="53131463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312672"/>
        <c:crosses val="autoZero"/>
        <c:crossBetween val="between"/>
        <c:majorUnit val="0.2"/>
      </c:valAx>
      <c:spPr>
        <a:noFill/>
        <a:ln>
          <a:noFill/>
        </a:ln>
        <a:effectLst/>
      </c:spPr>
    </c:plotArea>
    <c:legend>
      <c:legendPos val="r"/>
      <c:layout>
        <c:manualLayout>
          <c:xMode val="edge"/>
          <c:yMode val="edge"/>
          <c:x val="0.76401106618429449"/>
          <c:y val="0.2517931111691607"/>
          <c:w val="0.22878172660849827"/>
          <c:h val="0.438390224918567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a:t>CMWU</a:t>
            </a:r>
            <a:r>
              <a:rPr lang="en-US" baseline="0"/>
              <a:t> estimates of sewerage coverage</a:t>
            </a:r>
            <a:endParaRPr lang="en-US"/>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10472310147278"/>
          <c:y val="0.22056140350877193"/>
          <c:w val="0.64803607397912466"/>
          <c:h val="0.53983834885807802"/>
        </c:manualLayout>
      </c:layout>
      <c:barChart>
        <c:barDir val="col"/>
        <c:grouping val="stacked"/>
        <c:varyColors val="0"/>
        <c:ser>
          <c:idx val="1"/>
          <c:order val="0"/>
          <c:tx>
            <c:strRef>
              <c:f>'WWAcc (2)'!$C$31</c:f>
              <c:strCache>
                <c:ptCount val="1"/>
                <c:pt idx="0">
                  <c:v>Not Connected</c:v>
                </c:pt>
              </c:strCache>
            </c:strRef>
          </c:tx>
          <c:spPr>
            <a:solidFill>
              <a:schemeClr val="accent6">
                <a:lumMod val="75000"/>
              </a:schemeClr>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'WWAcc (2)'!$A$32:$A$37</c:f>
              <c:strCache>
                <c:ptCount val="6"/>
                <c:pt idx="0">
                  <c:v>North Gaza</c:v>
                </c:pt>
                <c:pt idx="1">
                  <c:v>Gaza</c:v>
                </c:pt>
                <c:pt idx="2">
                  <c:v>Deir al-Balah</c:v>
                </c:pt>
                <c:pt idx="3">
                  <c:v>Khan Yunis</c:v>
                </c:pt>
                <c:pt idx="4">
                  <c:v>Rafah</c:v>
                </c:pt>
                <c:pt idx="5">
                  <c:v>Average</c:v>
                </c:pt>
              </c:strCache>
            </c:strRef>
          </c:cat>
          <c:val>
            <c:numRef>
              <c:f>'WWAcc (2)'!$C$32:$C$37</c:f>
              <c:numCache>
                <c:formatCode>0%</c:formatCode>
                <c:ptCount val="6"/>
                <c:pt idx="0">
                  <c:v>0.19999999999999996</c:v>
                </c:pt>
                <c:pt idx="1">
                  <c:v>9.9999999999999978E-2</c:v>
                </c:pt>
                <c:pt idx="2">
                  <c:v>0.25</c:v>
                </c:pt>
                <c:pt idx="3">
                  <c:v>0.6</c:v>
                </c:pt>
                <c:pt idx="4">
                  <c:v>0.25</c:v>
                </c:pt>
                <c:pt idx="5">
                  <c:v>0.28000000000000003</c:v>
                </c:pt>
              </c:numCache>
            </c:numRef>
          </c:val>
        </c:ser>
        <c:ser>
          <c:idx val="0"/>
          <c:order val="1"/>
          <c:tx>
            <c:strRef>
              <c:f>'WWAcc (2)'!$B$31</c:f>
              <c:strCache>
                <c:ptCount val="1"/>
                <c:pt idx="0">
                  <c:v>Network</c:v>
                </c:pt>
              </c:strCache>
            </c:strRef>
          </c:tx>
          <c:spPr>
            <a:solidFill>
              <a:schemeClr val="accent4">
                <a:lumMod val="60000"/>
                <a:lumOff val="40000"/>
              </a:schemeClr>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'WWAcc (2)'!$A$32:$A$37</c:f>
              <c:strCache>
                <c:ptCount val="6"/>
                <c:pt idx="0">
                  <c:v>North Gaza</c:v>
                </c:pt>
                <c:pt idx="1">
                  <c:v>Gaza</c:v>
                </c:pt>
                <c:pt idx="2">
                  <c:v>Deir al-Balah</c:v>
                </c:pt>
                <c:pt idx="3">
                  <c:v>Khan Yunis</c:v>
                </c:pt>
                <c:pt idx="4">
                  <c:v>Rafah</c:v>
                </c:pt>
                <c:pt idx="5">
                  <c:v>Average</c:v>
                </c:pt>
              </c:strCache>
            </c:strRef>
          </c:cat>
          <c:val>
            <c:numRef>
              <c:f>'WWAcc (2)'!$B$32:$B$37</c:f>
              <c:numCache>
                <c:formatCode>0%</c:formatCode>
                <c:ptCount val="6"/>
                <c:pt idx="0">
                  <c:v>0.8</c:v>
                </c:pt>
                <c:pt idx="1">
                  <c:v>0.9</c:v>
                </c:pt>
                <c:pt idx="2">
                  <c:v>0.75</c:v>
                </c:pt>
                <c:pt idx="3">
                  <c:v>0.4</c:v>
                </c:pt>
                <c:pt idx="4">
                  <c:v>0.75</c:v>
                </c:pt>
                <c:pt idx="5">
                  <c:v>0.72</c:v>
                </c:pt>
              </c:numCache>
            </c:numRef>
          </c:val>
        </c:ser>
        <c:dLbls>
          <c:showLegendKey val="0"/>
          <c:showVal val="0"/>
          <c:showCatName val="0"/>
          <c:showSerName val="0"/>
          <c:showPercent val="0"/>
          <c:showBubbleSize val="0"/>
        </c:dLbls>
        <c:gapWidth val="150"/>
        <c:overlap val="100"/>
        <c:axId val="531308752"/>
        <c:axId val="531312280"/>
      </c:barChart>
      <c:catAx>
        <c:axId val="53130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31312280"/>
        <c:crosses val="autoZero"/>
        <c:auto val="1"/>
        <c:lblAlgn val="ctr"/>
        <c:lblOffset val="100"/>
        <c:noMultiLvlLbl val="0"/>
      </c:catAx>
      <c:valAx>
        <c:axId val="53131228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308752"/>
        <c:crosses val="autoZero"/>
        <c:crossBetween val="between"/>
      </c:valAx>
      <c:spPr>
        <a:noFill/>
        <a:ln>
          <a:noFill/>
        </a:ln>
        <a:effectLst/>
      </c:spPr>
    </c:plotArea>
    <c:legend>
      <c:legendPos val="r"/>
      <c:layout>
        <c:manualLayout>
          <c:xMode val="edge"/>
          <c:yMode val="edge"/>
          <c:x val="0.79919821068878016"/>
          <c:y val="0.27928166873877608"/>
          <c:w val="0.19638737018337823"/>
          <c:h val="0.4093659345213427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Proportion</a:t>
            </a:r>
            <a:r>
              <a:rPr lang="en-US" sz="1100" baseline="0"/>
              <a:t> of Population without access to sewerage networks</a:t>
            </a:r>
            <a:endParaRPr lang="en-US" sz="1100"/>
          </a:p>
        </c:rich>
      </c:tx>
      <c:layout>
        <c:manualLayout>
          <c:xMode val="edge"/>
          <c:yMode val="edge"/>
          <c:x val="0.14712980988077598"/>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0460237673242868E-2"/>
          <c:y val="0.23663230240549829"/>
          <c:w val="0.72949676607644587"/>
          <c:h val="0.56279514029818434"/>
        </c:manualLayout>
      </c:layout>
      <c:barChart>
        <c:barDir val="col"/>
        <c:grouping val="clustered"/>
        <c:varyColors val="0"/>
        <c:ser>
          <c:idx val="0"/>
          <c:order val="0"/>
          <c:tx>
            <c:strRef>
              <c:f>'WWAcc (2)'!$K$3</c:f>
              <c:strCache>
                <c:ptCount val="1"/>
                <c:pt idx="0">
                  <c:v>2010 HH</c:v>
                </c:pt>
              </c:strCache>
            </c:strRef>
          </c:tx>
          <c:spPr>
            <a:solidFill>
              <a:schemeClr val="accent6">
                <a:shade val="58000"/>
              </a:schemeClr>
            </a:solidFill>
            <a:ln>
              <a:noFill/>
            </a:ln>
            <a:effectLst/>
          </c:spPr>
          <c:invertIfNegative val="0"/>
          <c:cat>
            <c:strRef>
              <c:f>'WWAcc (2)'!$J$4:$J$9</c:f>
              <c:strCache>
                <c:ptCount val="6"/>
                <c:pt idx="0">
                  <c:v>North</c:v>
                </c:pt>
                <c:pt idx="1">
                  <c:v>Gaza</c:v>
                </c:pt>
                <c:pt idx="2">
                  <c:v>Middle Area</c:v>
                </c:pt>
                <c:pt idx="3">
                  <c:v>Khan Younis</c:v>
                </c:pt>
                <c:pt idx="4">
                  <c:v>Rafah</c:v>
                </c:pt>
                <c:pt idx="5">
                  <c:v>Total</c:v>
                </c:pt>
              </c:strCache>
            </c:strRef>
          </c:cat>
          <c:val>
            <c:numRef>
              <c:f>'WWAcc (2)'!$K$4:$K$9</c:f>
              <c:numCache>
                <c:formatCode>General</c:formatCode>
                <c:ptCount val="6"/>
                <c:pt idx="0">
                  <c:v>14.6</c:v>
                </c:pt>
                <c:pt idx="1">
                  <c:v>11</c:v>
                </c:pt>
                <c:pt idx="2">
                  <c:v>3.1</c:v>
                </c:pt>
                <c:pt idx="3">
                  <c:v>75.3</c:v>
                </c:pt>
                <c:pt idx="4">
                  <c:v>22.7</c:v>
                </c:pt>
                <c:pt idx="5">
                  <c:v>25.3</c:v>
                </c:pt>
              </c:numCache>
            </c:numRef>
          </c:val>
        </c:ser>
        <c:ser>
          <c:idx val="1"/>
          <c:order val="1"/>
          <c:tx>
            <c:strRef>
              <c:f>'WWAcc (2)'!$L$3</c:f>
              <c:strCache>
                <c:ptCount val="1"/>
                <c:pt idx="0">
                  <c:v>2010 MICS</c:v>
                </c:pt>
              </c:strCache>
            </c:strRef>
          </c:tx>
          <c:spPr>
            <a:solidFill>
              <a:schemeClr val="accent6">
                <a:shade val="86000"/>
              </a:schemeClr>
            </a:solidFill>
            <a:ln>
              <a:noFill/>
            </a:ln>
            <a:effectLst/>
          </c:spPr>
          <c:invertIfNegative val="0"/>
          <c:cat>
            <c:strRef>
              <c:f>'WWAcc (2)'!$J$4:$J$9</c:f>
              <c:strCache>
                <c:ptCount val="6"/>
                <c:pt idx="0">
                  <c:v>North</c:v>
                </c:pt>
                <c:pt idx="1">
                  <c:v>Gaza</c:v>
                </c:pt>
                <c:pt idx="2">
                  <c:v>Middle Area</c:v>
                </c:pt>
                <c:pt idx="3">
                  <c:v>Khan Younis</c:v>
                </c:pt>
                <c:pt idx="4">
                  <c:v>Rafah</c:v>
                </c:pt>
                <c:pt idx="5">
                  <c:v>Total</c:v>
                </c:pt>
              </c:strCache>
            </c:strRef>
          </c:cat>
          <c:val>
            <c:numRef>
              <c:f>'WWAcc (2)'!$L$4:$L$9</c:f>
              <c:numCache>
                <c:formatCode>General</c:formatCode>
                <c:ptCount val="6"/>
                <c:pt idx="0">
                  <c:v>6.9000000000000057</c:v>
                </c:pt>
                <c:pt idx="1">
                  <c:v>3.5</c:v>
                </c:pt>
                <c:pt idx="2">
                  <c:v>10</c:v>
                </c:pt>
                <c:pt idx="3">
                  <c:v>54.6</c:v>
                </c:pt>
                <c:pt idx="4">
                  <c:v>22.799999999999997</c:v>
                </c:pt>
                <c:pt idx="5">
                  <c:v>17.400000000000006</c:v>
                </c:pt>
              </c:numCache>
            </c:numRef>
          </c:val>
        </c:ser>
        <c:ser>
          <c:idx val="2"/>
          <c:order val="2"/>
          <c:tx>
            <c:strRef>
              <c:f>'WWAcc (2)'!$M$3</c:f>
              <c:strCache>
                <c:ptCount val="1"/>
                <c:pt idx="0">
                  <c:v>2014 MICS</c:v>
                </c:pt>
              </c:strCache>
            </c:strRef>
          </c:tx>
          <c:spPr>
            <a:solidFill>
              <a:schemeClr val="accent6">
                <a:tint val="86000"/>
              </a:schemeClr>
            </a:solidFill>
            <a:ln>
              <a:noFill/>
            </a:ln>
            <a:effectLst/>
          </c:spPr>
          <c:invertIfNegative val="0"/>
          <c:cat>
            <c:strRef>
              <c:f>'WWAcc (2)'!$J$4:$J$9</c:f>
              <c:strCache>
                <c:ptCount val="6"/>
                <c:pt idx="0">
                  <c:v>North</c:v>
                </c:pt>
                <c:pt idx="1">
                  <c:v>Gaza</c:v>
                </c:pt>
                <c:pt idx="2">
                  <c:v>Middle Area</c:v>
                </c:pt>
                <c:pt idx="3">
                  <c:v>Khan Younis</c:v>
                </c:pt>
                <c:pt idx="4">
                  <c:v>Rafah</c:v>
                </c:pt>
                <c:pt idx="5">
                  <c:v>Total</c:v>
                </c:pt>
              </c:strCache>
            </c:strRef>
          </c:cat>
          <c:val>
            <c:numRef>
              <c:f>'WWAcc (2)'!$M$4:$M$9</c:f>
              <c:numCache>
                <c:formatCode>General</c:formatCode>
                <c:ptCount val="6"/>
                <c:pt idx="0">
                  <c:v>5.9000000000000057</c:v>
                </c:pt>
                <c:pt idx="1">
                  <c:v>2.7999999999999972</c:v>
                </c:pt>
                <c:pt idx="2">
                  <c:v>12.5</c:v>
                </c:pt>
                <c:pt idx="3">
                  <c:v>64.2</c:v>
                </c:pt>
                <c:pt idx="4">
                  <c:v>19</c:v>
                </c:pt>
                <c:pt idx="5">
                  <c:v>18.099999999999994</c:v>
                </c:pt>
              </c:numCache>
            </c:numRef>
          </c:val>
        </c:ser>
        <c:ser>
          <c:idx val="3"/>
          <c:order val="3"/>
          <c:tx>
            <c:strRef>
              <c:f>'WWAcc (2)'!$N$3</c:f>
              <c:strCache>
                <c:ptCount val="1"/>
                <c:pt idx="0">
                  <c:v>2015 HH</c:v>
                </c:pt>
              </c:strCache>
            </c:strRef>
          </c:tx>
          <c:spPr>
            <a:solidFill>
              <a:schemeClr val="accent6">
                <a:tint val="58000"/>
              </a:schemeClr>
            </a:solidFill>
            <a:ln>
              <a:noFill/>
            </a:ln>
            <a:effectLst/>
          </c:spPr>
          <c:invertIfNegative val="0"/>
          <c:cat>
            <c:strRef>
              <c:f>'WWAcc (2)'!$J$4:$J$9</c:f>
              <c:strCache>
                <c:ptCount val="6"/>
                <c:pt idx="0">
                  <c:v>North</c:v>
                </c:pt>
                <c:pt idx="1">
                  <c:v>Gaza</c:v>
                </c:pt>
                <c:pt idx="2">
                  <c:v>Middle Area</c:v>
                </c:pt>
                <c:pt idx="3">
                  <c:v>Khan Younis</c:v>
                </c:pt>
                <c:pt idx="4">
                  <c:v>Rafah</c:v>
                </c:pt>
                <c:pt idx="5">
                  <c:v>Total</c:v>
                </c:pt>
              </c:strCache>
            </c:strRef>
          </c:cat>
          <c:val>
            <c:numRef>
              <c:f>'WWAcc (2)'!$N$4:$N$9</c:f>
              <c:numCache>
                <c:formatCode>General</c:formatCode>
                <c:ptCount val="6"/>
                <c:pt idx="0">
                  <c:v>12.57</c:v>
                </c:pt>
                <c:pt idx="1">
                  <c:v>18.760000000000002</c:v>
                </c:pt>
                <c:pt idx="2">
                  <c:v>45.39</c:v>
                </c:pt>
                <c:pt idx="3">
                  <c:v>53.48</c:v>
                </c:pt>
                <c:pt idx="4">
                  <c:v>30.21</c:v>
                </c:pt>
                <c:pt idx="5">
                  <c:v>29.79</c:v>
                </c:pt>
              </c:numCache>
            </c:numRef>
          </c:val>
        </c:ser>
        <c:dLbls>
          <c:showLegendKey val="0"/>
          <c:showVal val="0"/>
          <c:showCatName val="0"/>
          <c:showSerName val="0"/>
          <c:showPercent val="0"/>
          <c:showBubbleSize val="0"/>
        </c:dLbls>
        <c:gapWidth val="80"/>
        <c:axId val="531313456"/>
        <c:axId val="531315416"/>
      </c:barChart>
      <c:catAx>
        <c:axId val="53131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315416"/>
        <c:crosses val="autoZero"/>
        <c:auto val="1"/>
        <c:lblAlgn val="ctr"/>
        <c:lblOffset val="100"/>
        <c:noMultiLvlLbl val="0"/>
      </c:catAx>
      <c:valAx>
        <c:axId val="531315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313456"/>
        <c:crosses val="autoZero"/>
        <c:crossBetween val="between"/>
      </c:valAx>
      <c:spPr>
        <a:noFill/>
        <a:ln>
          <a:noFill/>
        </a:ln>
        <a:effectLst/>
      </c:spPr>
    </c:plotArea>
    <c:legend>
      <c:legendPos val="r"/>
      <c:layout>
        <c:manualLayout>
          <c:xMode val="edge"/>
          <c:yMode val="edge"/>
          <c:x val="0.83195158723240781"/>
          <c:y val="0.22140704061476851"/>
          <c:w val="0.16804841276759225"/>
          <c:h val="0.6162837892686094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pivotSource>
    <c:name>[Gaza WASH Assessment_raw data_GVC_edited.xlsx]Pivots!PivotTable52</c:name>
    <c:fmtId val="-1"/>
  </c:pivotSource>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a:t>Desludgin</a:t>
            </a:r>
            <a:r>
              <a:rPr lang="en-US" baseline="0"/>
              <a:t>g of Septic tanks / Cesspits</a:t>
            </a:r>
            <a:endParaRPr lang="en-US"/>
          </a:p>
        </c:rich>
      </c:tx>
      <c:layout>
        <c:manualLayout>
          <c:xMode val="edge"/>
          <c:yMode val="edge"/>
          <c:x val="0.17979038677857578"/>
          <c:y val="1.6474464579901153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6"/>
          </a:solidFill>
          <a:ln>
            <a:noFill/>
          </a:ln>
          <a:effectLst/>
        </c:spPr>
        <c:marker>
          <c:symbol val="none"/>
        </c:marker>
      </c:pivotFmt>
      <c:pivotFmt>
        <c:idx val="1"/>
        <c:spPr>
          <a:solidFill>
            <a:schemeClr val="accent6"/>
          </a:solidFill>
          <a:ln>
            <a:noFill/>
          </a:ln>
          <a:effectLst/>
        </c:spPr>
        <c:marker>
          <c:symbol val="none"/>
        </c:marker>
      </c:pivotFmt>
      <c:pivotFmt>
        <c:idx val="2"/>
        <c:spPr>
          <a:solidFill>
            <a:schemeClr val="accent6"/>
          </a:solidFill>
          <a:ln>
            <a:noFill/>
          </a:ln>
          <a:effectLst/>
        </c:spPr>
        <c:marker>
          <c:symbol val="none"/>
        </c:marker>
      </c:pivotFmt>
      <c:pivotFmt>
        <c:idx val="3"/>
        <c:spPr>
          <a:solidFill>
            <a:schemeClr val="accent6"/>
          </a:solidFill>
          <a:ln>
            <a:noFill/>
          </a:ln>
          <a:effectLst/>
        </c:spPr>
        <c:marker>
          <c:symbol val="none"/>
        </c:marker>
      </c:pivotFmt>
      <c:pivotFmt>
        <c:idx val="4"/>
        <c:spPr>
          <a:solidFill>
            <a:schemeClr val="accent6"/>
          </a:solidFill>
          <a:ln>
            <a:noFill/>
          </a:ln>
          <a:effectLst/>
        </c:spPr>
        <c:marker>
          <c:symbol val="none"/>
        </c:marker>
      </c:pivotFmt>
      <c:pivotFmt>
        <c:idx val="5"/>
        <c:spPr>
          <a:solidFill>
            <a:schemeClr val="accent6"/>
          </a:solidFill>
          <a:ln>
            <a:noFill/>
          </a:ln>
          <a:effectLst/>
        </c:spPr>
        <c:marker>
          <c:symbol val="none"/>
        </c:marker>
      </c:pivotFmt>
      <c:pivotFmt>
        <c:idx val="6"/>
        <c:spPr>
          <a:solidFill>
            <a:schemeClr val="accent6"/>
          </a:solidFill>
          <a:ln>
            <a:noFill/>
          </a:ln>
          <a:effectLst/>
        </c:spPr>
        <c:marker>
          <c:symbol val="none"/>
        </c:marker>
      </c:pivotFmt>
      <c:pivotFmt>
        <c:idx val="7"/>
        <c:spPr>
          <a:solidFill>
            <a:schemeClr val="accent6"/>
          </a:solidFill>
          <a:ln>
            <a:noFill/>
          </a:ln>
          <a:effectLst/>
        </c:spPr>
        <c:marker>
          <c:symbol val="none"/>
        </c:marker>
      </c:pivotFmt>
      <c:pivotFmt>
        <c:idx val="8"/>
        <c:spPr>
          <a:solidFill>
            <a:schemeClr val="accent6"/>
          </a:solidFill>
          <a:ln>
            <a:noFill/>
          </a:ln>
          <a:effectLst/>
        </c:spPr>
        <c:marker>
          <c:symbol val="none"/>
        </c:marker>
      </c:pivotFmt>
    </c:pivotFmts>
    <c:plotArea>
      <c:layout>
        <c:manualLayout>
          <c:layoutTarget val="inner"/>
          <c:xMode val="edge"/>
          <c:yMode val="edge"/>
          <c:x val="8.8202608929564746E-2"/>
          <c:y val="0.20559655596555965"/>
          <c:w val="0.70290361177414273"/>
          <c:h val="0.65173267087001574"/>
        </c:manualLayout>
      </c:layout>
      <c:barChart>
        <c:barDir val="col"/>
        <c:grouping val="stacked"/>
        <c:varyColors val="0"/>
        <c:ser>
          <c:idx val="0"/>
          <c:order val="0"/>
          <c:tx>
            <c:strRef>
              <c:f>Pivots!$B$198:$B$199</c:f>
              <c:strCache>
                <c:ptCount val="1"/>
                <c:pt idx="0">
                  <c:v>Municipality</c:v>
                </c:pt>
              </c:strCache>
            </c:strRef>
          </c:tx>
          <c:spPr>
            <a:solidFill>
              <a:schemeClr val="accent4">
                <a:lumMod val="60000"/>
                <a:lumOff val="40000"/>
              </a:schemeClr>
            </a:solidFill>
            <a:ln>
              <a:noFill/>
            </a:ln>
            <a:effectLst/>
          </c:spPr>
          <c:invertIfNegative val="0"/>
          <c:cat>
            <c:strRef>
              <c:f>Pivots!$A$200:$A$205</c:f>
              <c:strCache>
                <c:ptCount val="5"/>
                <c:pt idx="0">
                  <c:v>North</c:v>
                </c:pt>
                <c:pt idx="1">
                  <c:v>Gaza</c:v>
                </c:pt>
                <c:pt idx="2">
                  <c:v>Middle</c:v>
                </c:pt>
                <c:pt idx="3">
                  <c:v>Khan Yunis</c:v>
                </c:pt>
                <c:pt idx="4">
                  <c:v>Rafah</c:v>
                </c:pt>
              </c:strCache>
            </c:strRef>
          </c:cat>
          <c:val>
            <c:numRef>
              <c:f>Pivots!$B$200:$B$205</c:f>
              <c:numCache>
                <c:formatCode>General</c:formatCode>
                <c:ptCount val="5"/>
                <c:pt idx="0">
                  <c:v>8</c:v>
                </c:pt>
                <c:pt idx="1">
                  <c:v>38</c:v>
                </c:pt>
                <c:pt idx="2">
                  <c:v>14</c:v>
                </c:pt>
                <c:pt idx="3">
                  <c:v>175</c:v>
                </c:pt>
                <c:pt idx="4">
                  <c:v>9</c:v>
                </c:pt>
              </c:numCache>
            </c:numRef>
          </c:val>
        </c:ser>
        <c:ser>
          <c:idx val="1"/>
          <c:order val="1"/>
          <c:tx>
            <c:strRef>
              <c:f>Pivots!$C$198:$C$199</c:f>
              <c:strCache>
                <c:ptCount val="1"/>
                <c:pt idx="0">
                  <c:v>Own funds</c:v>
                </c:pt>
              </c:strCache>
            </c:strRef>
          </c:tx>
          <c:spPr>
            <a:solidFill>
              <a:schemeClr val="accent6"/>
            </a:solidFill>
            <a:ln>
              <a:noFill/>
            </a:ln>
            <a:effectLst/>
          </c:spPr>
          <c:invertIfNegative val="0"/>
          <c:cat>
            <c:strRef>
              <c:f>Pivots!$A$200:$A$205</c:f>
              <c:strCache>
                <c:ptCount val="5"/>
                <c:pt idx="0">
                  <c:v>North</c:v>
                </c:pt>
                <c:pt idx="1">
                  <c:v>Gaza</c:v>
                </c:pt>
                <c:pt idx="2">
                  <c:v>Middle</c:v>
                </c:pt>
                <c:pt idx="3">
                  <c:v>Khan Yunis</c:v>
                </c:pt>
                <c:pt idx="4">
                  <c:v>Rafah</c:v>
                </c:pt>
              </c:strCache>
            </c:strRef>
          </c:cat>
          <c:val>
            <c:numRef>
              <c:f>Pivots!$C$200:$C$205</c:f>
              <c:numCache>
                <c:formatCode>General</c:formatCode>
                <c:ptCount val="5"/>
                <c:pt idx="0">
                  <c:v>50</c:v>
                </c:pt>
                <c:pt idx="1">
                  <c:v>143</c:v>
                </c:pt>
                <c:pt idx="2">
                  <c:v>160</c:v>
                </c:pt>
                <c:pt idx="3">
                  <c:v>121</c:v>
                </c:pt>
                <c:pt idx="4">
                  <c:v>245</c:v>
                </c:pt>
              </c:numCache>
            </c:numRef>
          </c:val>
        </c:ser>
        <c:ser>
          <c:idx val="2"/>
          <c:order val="2"/>
          <c:tx>
            <c:strRef>
              <c:f>Pivots!$D$198:$D$199</c:f>
              <c:strCache>
                <c:ptCount val="1"/>
                <c:pt idx="0">
                  <c:v>No Response</c:v>
                </c:pt>
              </c:strCache>
            </c:strRef>
          </c:tx>
          <c:spPr>
            <a:solidFill>
              <a:schemeClr val="bg1">
                <a:lumMod val="85000"/>
              </a:schemeClr>
            </a:solidFill>
            <a:ln>
              <a:noFill/>
            </a:ln>
            <a:effectLst/>
          </c:spPr>
          <c:invertIfNegative val="0"/>
          <c:cat>
            <c:strRef>
              <c:f>Pivots!$A$200:$A$205</c:f>
              <c:strCache>
                <c:ptCount val="5"/>
                <c:pt idx="0">
                  <c:v>North</c:v>
                </c:pt>
                <c:pt idx="1">
                  <c:v>Gaza</c:v>
                </c:pt>
                <c:pt idx="2">
                  <c:v>Middle</c:v>
                </c:pt>
                <c:pt idx="3">
                  <c:v>Khan Yunis</c:v>
                </c:pt>
                <c:pt idx="4">
                  <c:v>Rafah</c:v>
                </c:pt>
              </c:strCache>
            </c:strRef>
          </c:cat>
          <c:val>
            <c:numRef>
              <c:f>Pivots!$D$200:$D$205</c:f>
              <c:numCache>
                <c:formatCode>General</c:formatCode>
                <c:ptCount val="5"/>
                <c:pt idx="0">
                  <c:v>60</c:v>
                </c:pt>
                <c:pt idx="1">
                  <c:v>21</c:v>
                </c:pt>
                <c:pt idx="2">
                  <c:v>57</c:v>
                </c:pt>
                <c:pt idx="3">
                  <c:v>148</c:v>
                </c:pt>
                <c:pt idx="4">
                  <c:v>32</c:v>
                </c:pt>
              </c:numCache>
            </c:numRef>
          </c:val>
        </c:ser>
        <c:dLbls>
          <c:showLegendKey val="0"/>
          <c:showVal val="0"/>
          <c:showCatName val="0"/>
          <c:showSerName val="0"/>
          <c:showPercent val="0"/>
          <c:showBubbleSize val="0"/>
        </c:dLbls>
        <c:gapWidth val="150"/>
        <c:overlap val="100"/>
        <c:axId val="531310712"/>
        <c:axId val="531309928"/>
      </c:barChart>
      <c:catAx>
        <c:axId val="531310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309928"/>
        <c:crosses val="autoZero"/>
        <c:auto val="1"/>
        <c:lblAlgn val="ctr"/>
        <c:lblOffset val="100"/>
        <c:noMultiLvlLbl val="0"/>
      </c:catAx>
      <c:valAx>
        <c:axId val="531309928"/>
        <c:scaling>
          <c:orientation val="minMax"/>
          <c:max val="45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310712"/>
        <c:crosses val="autoZero"/>
        <c:crossBetween val="between"/>
        <c:majorUnit val="50"/>
      </c:valAx>
      <c:spPr>
        <a:noFill/>
        <a:ln>
          <a:noFill/>
        </a:ln>
        <a:effectLst/>
      </c:spPr>
    </c:plotArea>
    <c:legend>
      <c:legendPos val="r"/>
      <c:layout>
        <c:manualLayout>
          <c:xMode val="edge"/>
          <c:yMode val="edge"/>
          <c:x val="0.79935401704594622"/>
          <c:y val="0.21824903682756294"/>
          <c:w val="0.20064598295405381"/>
          <c:h val="0.636329437403520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pivotSource>
    <c:name>[VPP_24Agust2016_Analysis.xlsm]Outputs!PivotTable12</c:name>
    <c:fmtId val="-1"/>
  </c:pivotSource>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KII estimates of proportion affected by winter storms / floods by Governorate</a:t>
            </a:r>
          </a:p>
        </c:rich>
      </c:tx>
      <c:layout>
        <c:manualLayout>
          <c:xMode val="edge"/>
          <c:yMode val="edge"/>
          <c:x val="0.13134650703205303"/>
          <c:y val="2.9684601113172542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6"/>
          </a:solidFill>
          <a:ln>
            <a:noFill/>
          </a:ln>
          <a:effectLst/>
        </c:spPr>
        <c:marker>
          <c:symbol val="none"/>
        </c:marker>
      </c:pivotFmt>
      <c:pivotFmt>
        <c:idx val="1"/>
        <c:spPr>
          <a:solidFill>
            <a:schemeClr val="accent6"/>
          </a:solidFill>
          <a:ln>
            <a:noFill/>
          </a:ln>
          <a:effectLst/>
        </c:spPr>
        <c:marker>
          <c:symbol val="none"/>
        </c:marker>
      </c:pivotFmt>
      <c:pivotFmt>
        <c:idx val="2"/>
        <c:spPr>
          <a:solidFill>
            <a:schemeClr val="accent6"/>
          </a:solidFill>
          <a:ln>
            <a:noFill/>
          </a:ln>
          <a:effectLst/>
        </c:spPr>
        <c:marker>
          <c:symbol val="none"/>
        </c:marker>
      </c:pivotFmt>
      <c:pivotFmt>
        <c:idx val="3"/>
        <c:spPr>
          <a:solidFill>
            <a:schemeClr val="accent6"/>
          </a:solidFill>
          <a:ln>
            <a:noFill/>
          </a:ln>
          <a:effectLst/>
        </c:spPr>
        <c:marker>
          <c:symbol val="none"/>
        </c:marker>
      </c:pivotFmt>
      <c:pivotFmt>
        <c:idx val="4"/>
        <c:spPr>
          <a:solidFill>
            <a:schemeClr val="accent6"/>
          </a:solidFill>
          <a:ln>
            <a:noFill/>
          </a:ln>
          <a:effectLst/>
        </c:spPr>
        <c:marker>
          <c:symbol val="none"/>
        </c:marker>
      </c:pivotFmt>
      <c:pivotFmt>
        <c:idx val="5"/>
        <c:spPr>
          <a:solidFill>
            <a:schemeClr val="accent6"/>
          </a:solidFill>
          <a:ln>
            <a:noFill/>
          </a:ln>
          <a:effectLst/>
        </c:spPr>
        <c:marker>
          <c:symbol val="none"/>
        </c:marker>
      </c:pivotFmt>
      <c:pivotFmt>
        <c:idx val="6"/>
        <c:spPr>
          <a:solidFill>
            <a:schemeClr val="accent6"/>
          </a:solidFill>
          <a:ln>
            <a:noFill/>
          </a:ln>
          <a:effectLst/>
        </c:spPr>
        <c:marker>
          <c:symbol val="none"/>
        </c:marker>
      </c:pivotFmt>
      <c:pivotFmt>
        <c:idx val="7"/>
        <c:spPr>
          <a:solidFill>
            <a:schemeClr val="accent6"/>
          </a:solidFill>
          <a:ln>
            <a:noFill/>
          </a:ln>
          <a:effectLst/>
        </c:spPr>
        <c:marker>
          <c:symbol val="none"/>
        </c:marker>
      </c:pivotFmt>
      <c:pivotFmt>
        <c:idx val="8"/>
        <c:spPr>
          <a:solidFill>
            <a:schemeClr val="accent6"/>
          </a:solidFill>
          <a:ln>
            <a:noFill/>
          </a:ln>
          <a:effectLst/>
        </c:spPr>
        <c:marker>
          <c:symbol val="none"/>
        </c:marker>
      </c:pivotFmt>
      <c:pivotFmt>
        <c:idx val="9"/>
        <c:spPr>
          <a:solidFill>
            <a:schemeClr val="accent6"/>
          </a:solidFill>
          <a:ln>
            <a:noFill/>
          </a:ln>
          <a:effectLst/>
        </c:spPr>
        <c:marker>
          <c:symbol val="none"/>
        </c:marker>
      </c:pivotFmt>
      <c:pivotFmt>
        <c:idx val="10"/>
        <c:spPr>
          <a:solidFill>
            <a:schemeClr val="accent6"/>
          </a:solidFill>
          <a:ln>
            <a:noFill/>
          </a:ln>
          <a:effectLst/>
        </c:spPr>
        <c:marker>
          <c:symbol val="none"/>
        </c:marker>
      </c:pivotFmt>
      <c:pivotFmt>
        <c:idx val="11"/>
        <c:spPr>
          <a:solidFill>
            <a:schemeClr val="accent6"/>
          </a:solidFill>
          <a:ln>
            <a:noFill/>
          </a:ln>
          <a:effectLst/>
        </c:spPr>
        <c:marker>
          <c:symbol val="none"/>
        </c:marker>
      </c:pivotFmt>
      <c:pivotFmt>
        <c:idx val="12"/>
        <c:spPr>
          <a:solidFill>
            <a:schemeClr val="accent6"/>
          </a:solidFill>
          <a:ln>
            <a:noFill/>
          </a:ln>
          <a:effectLst/>
        </c:spPr>
        <c:marker>
          <c:symbol val="none"/>
        </c:marker>
      </c:pivotFmt>
      <c:pivotFmt>
        <c:idx val="13"/>
        <c:spPr>
          <a:solidFill>
            <a:schemeClr val="accent6"/>
          </a:solidFill>
          <a:ln>
            <a:noFill/>
          </a:ln>
          <a:effectLst/>
        </c:spPr>
        <c:marker>
          <c:symbol val="none"/>
        </c:marker>
      </c:pivotFmt>
      <c:pivotFmt>
        <c:idx val="14"/>
        <c:spPr>
          <a:solidFill>
            <a:schemeClr val="accent6"/>
          </a:solidFill>
          <a:ln>
            <a:noFill/>
          </a:ln>
          <a:effectLst/>
        </c:spPr>
        <c:marker>
          <c:symbol val="none"/>
        </c:marker>
      </c:pivotFmt>
    </c:pivotFmts>
    <c:plotArea>
      <c:layout>
        <c:manualLayout>
          <c:layoutTarget val="inner"/>
          <c:xMode val="edge"/>
          <c:yMode val="edge"/>
          <c:x val="0.14421189205339846"/>
          <c:y val="0.27962591850367402"/>
          <c:w val="0.47883693853591047"/>
          <c:h val="0.51258001567439337"/>
        </c:manualLayout>
      </c:layout>
      <c:barChart>
        <c:barDir val="col"/>
        <c:grouping val="percentStacked"/>
        <c:varyColors val="0"/>
        <c:ser>
          <c:idx val="0"/>
          <c:order val="0"/>
          <c:tx>
            <c:strRef>
              <c:f>Outputs!$F$14:$F$15</c:f>
              <c:strCache>
                <c:ptCount val="1"/>
                <c:pt idx="0">
                  <c:v>Less than 1 %</c:v>
                </c:pt>
              </c:strCache>
            </c:strRef>
          </c:tx>
          <c:spPr>
            <a:solidFill>
              <a:schemeClr val="accent6">
                <a:tint val="54000"/>
              </a:schemeClr>
            </a:solidFill>
            <a:ln>
              <a:noFill/>
            </a:ln>
            <a:effectLst/>
          </c:spPr>
          <c:invertIfNegative val="0"/>
          <c:cat>
            <c:strRef>
              <c:f>Outputs!$E$16:$E$21</c:f>
              <c:strCache>
                <c:ptCount val="5"/>
                <c:pt idx="0">
                  <c:v>North Gaza</c:v>
                </c:pt>
                <c:pt idx="1">
                  <c:v>Gaza</c:v>
                </c:pt>
                <c:pt idx="2">
                  <c:v>Middle Area</c:v>
                </c:pt>
                <c:pt idx="3">
                  <c:v>Khan Yunis</c:v>
                </c:pt>
                <c:pt idx="4">
                  <c:v>Rafah</c:v>
                </c:pt>
              </c:strCache>
            </c:strRef>
          </c:cat>
          <c:val>
            <c:numRef>
              <c:f>Outputs!$F$16:$F$21</c:f>
              <c:numCache>
                <c:formatCode>0%</c:formatCode>
                <c:ptCount val="5"/>
                <c:pt idx="0">
                  <c:v>0</c:v>
                </c:pt>
                <c:pt idx="1">
                  <c:v>0</c:v>
                </c:pt>
                <c:pt idx="2">
                  <c:v>0.1111111111111111</c:v>
                </c:pt>
                <c:pt idx="3">
                  <c:v>0.125</c:v>
                </c:pt>
                <c:pt idx="4">
                  <c:v>0</c:v>
                </c:pt>
              </c:numCache>
            </c:numRef>
          </c:val>
        </c:ser>
        <c:ser>
          <c:idx val="1"/>
          <c:order val="1"/>
          <c:tx>
            <c:strRef>
              <c:f>Outputs!$G$14:$G$15</c:f>
              <c:strCache>
                <c:ptCount val="1"/>
                <c:pt idx="0">
                  <c:v>1 - 10 %</c:v>
                </c:pt>
              </c:strCache>
            </c:strRef>
          </c:tx>
          <c:spPr>
            <a:solidFill>
              <a:schemeClr val="accent6">
                <a:tint val="77000"/>
              </a:schemeClr>
            </a:solidFill>
            <a:ln>
              <a:noFill/>
            </a:ln>
            <a:effectLst/>
          </c:spPr>
          <c:invertIfNegative val="0"/>
          <c:cat>
            <c:strRef>
              <c:f>Outputs!$E$16:$E$21</c:f>
              <c:strCache>
                <c:ptCount val="5"/>
                <c:pt idx="0">
                  <c:v>North Gaza</c:v>
                </c:pt>
                <c:pt idx="1">
                  <c:v>Gaza</c:v>
                </c:pt>
                <c:pt idx="2">
                  <c:v>Middle Area</c:v>
                </c:pt>
                <c:pt idx="3">
                  <c:v>Khan Yunis</c:v>
                </c:pt>
                <c:pt idx="4">
                  <c:v>Rafah</c:v>
                </c:pt>
              </c:strCache>
            </c:strRef>
          </c:cat>
          <c:val>
            <c:numRef>
              <c:f>Outputs!$G$16:$G$21</c:f>
              <c:numCache>
                <c:formatCode>0%</c:formatCode>
                <c:ptCount val="5"/>
                <c:pt idx="0">
                  <c:v>0.4</c:v>
                </c:pt>
                <c:pt idx="1">
                  <c:v>0.4</c:v>
                </c:pt>
                <c:pt idx="2">
                  <c:v>0.44444444444444442</c:v>
                </c:pt>
                <c:pt idx="3">
                  <c:v>0.875</c:v>
                </c:pt>
                <c:pt idx="4">
                  <c:v>1</c:v>
                </c:pt>
              </c:numCache>
            </c:numRef>
          </c:val>
        </c:ser>
        <c:ser>
          <c:idx val="2"/>
          <c:order val="2"/>
          <c:tx>
            <c:strRef>
              <c:f>Outputs!$H$14:$H$15</c:f>
              <c:strCache>
                <c:ptCount val="1"/>
                <c:pt idx="0">
                  <c:v>10 - 25 %</c:v>
                </c:pt>
              </c:strCache>
            </c:strRef>
          </c:tx>
          <c:spPr>
            <a:solidFill>
              <a:schemeClr val="accent6"/>
            </a:solidFill>
            <a:ln>
              <a:noFill/>
            </a:ln>
            <a:effectLst/>
          </c:spPr>
          <c:invertIfNegative val="0"/>
          <c:cat>
            <c:strRef>
              <c:f>Outputs!$E$16:$E$21</c:f>
              <c:strCache>
                <c:ptCount val="5"/>
                <c:pt idx="0">
                  <c:v>North Gaza</c:v>
                </c:pt>
                <c:pt idx="1">
                  <c:v>Gaza</c:v>
                </c:pt>
                <c:pt idx="2">
                  <c:v>Middle Area</c:v>
                </c:pt>
                <c:pt idx="3">
                  <c:v>Khan Yunis</c:v>
                </c:pt>
                <c:pt idx="4">
                  <c:v>Rafah</c:v>
                </c:pt>
              </c:strCache>
            </c:strRef>
          </c:cat>
          <c:val>
            <c:numRef>
              <c:f>Outputs!$H$16:$H$21</c:f>
              <c:numCache>
                <c:formatCode>0%</c:formatCode>
                <c:ptCount val="5"/>
                <c:pt idx="0">
                  <c:v>0.6</c:v>
                </c:pt>
                <c:pt idx="1">
                  <c:v>0.4</c:v>
                </c:pt>
                <c:pt idx="2">
                  <c:v>0.33333333333333331</c:v>
                </c:pt>
                <c:pt idx="3">
                  <c:v>0</c:v>
                </c:pt>
                <c:pt idx="4">
                  <c:v>0</c:v>
                </c:pt>
              </c:numCache>
            </c:numRef>
          </c:val>
        </c:ser>
        <c:ser>
          <c:idx val="3"/>
          <c:order val="3"/>
          <c:tx>
            <c:strRef>
              <c:f>Outputs!$I$14:$I$15</c:f>
              <c:strCache>
                <c:ptCount val="1"/>
                <c:pt idx="0">
                  <c:v>25 - 50 %</c:v>
                </c:pt>
              </c:strCache>
            </c:strRef>
          </c:tx>
          <c:spPr>
            <a:solidFill>
              <a:schemeClr val="accent6">
                <a:shade val="76000"/>
              </a:schemeClr>
            </a:solidFill>
            <a:ln>
              <a:noFill/>
            </a:ln>
            <a:effectLst/>
          </c:spPr>
          <c:invertIfNegative val="0"/>
          <c:cat>
            <c:strRef>
              <c:f>Outputs!$E$16:$E$21</c:f>
              <c:strCache>
                <c:ptCount val="5"/>
                <c:pt idx="0">
                  <c:v>North Gaza</c:v>
                </c:pt>
                <c:pt idx="1">
                  <c:v>Gaza</c:v>
                </c:pt>
                <c:pt idx="2">
                  <c:v>Middle Area</c:v>
                </c:pt>
                <c:pt idx="3">
                  <c:v>Khan Yunis</c:v>
                </c:pt>
                <c:pt idx="4">
                  <c:v>Rafah</c:v>
                </c:pt>
              </c:strCache>
            </c:strRef>
          </c:cat>
          <c:val>
            <c:numRef>
              <c:f>Outputs!$I$16:$I$21</c:f>
              <c:numCache>
                <c:formatCode>0%</c:formatCode>
                <c:ptCount val="5"/>
                <c:pt idx="0">
                  <c:v>0</c:v>
                </c:pt>
                <c:pt idx="1">
                  <c:v>0</c:v>
                </c:pt>
                <c:pt idx="2">
                  <c:v>0.1111111111111111</c:v>
                </c:pt>
                <c:pt idx="3">
                  <c:v>0</c:v>
                </c:pt>
                <c:pt idx="4">
                  <c:v>0</c:v>
                </c:pt>
              </c:numCache>
            </c:numRef>
          </c:val>
        </c:ser>
        <c:ser>
          <c:idx val="4"/>
          <c:order val="4"/>
          <c:tx>
            <c:strRef>
              <c:f>Outputs!$J$14:$J$15</c:f>
              <c:strCache>
                <c:ptCount val="1"/>
                <c:pt idx="0">
                  <c:v>More than 50 %</c:v>
                </c:pt>
              </c:strCache>
            </c:strRef>
          </c:tx>
          <c:spPr>
            <a:solidFill>
              <a:schemeClr val="accent6">
                <a:shade val="53000"/>
              </a:schemeClr>
            </a:solidFill>
            <a:ln>
              <a:noFill/>
            </a:ln>
            <a:effectLst/>
          </c:spPr>
          <c:invertIfNegative val="0"/>
          <c:cat>
            <c:strRef>
              <c:f>Outputs!$E$16:$E$21</c:f>
              <c:strCache>
                <c:ptCount val="5"/>
                <c:pt idx="0">
                  <c:v>North Gaza</c:v>
                </c:pt>
                <c:pt idx="1">
                  <c:v>Gaza</c:v>
                </c:pt>
                <c:pt idx="2">
                  <c:v>Middle Area</c:v>
                </c:pt>
                <c:pt idx="3">
                  <c:v>Khan Yunis</c:v>
                </c:pt>
                <c:pt idx="4">
                  <c:v>Rafah</c:v>
                </c:pt>
              </c:strCache>
            </c:strRef>
          </c:cat>
          <c:val>
            <c:numRef>
              <c:f>Outputs!$J$16:$J$21</c:f>
              <c:numCache>
                <c:formatCode>0%</c:formatCode>
                <c:ptCount val="5"/>
                <c:pt idx="0">
                  <c:v>0</c:v>
                </c:pt>
                <c:pt idx="1">
                  <c:v>0.2</c:v>
                </c:pt>
                <c:pt idx="2">
                  <c:v>0</c:v>
                </c:pt>
                <c:pt idx="3">
                  <c:v>0</c:v>
                </c:pt>
                <c:pt idx="4">
                  <c:v>0</c:v>
                </c:pt>
              </c:numCache>
            </c:numRef>
          </c:val>
        </c:ser>
        <c:dLbls>
          <c:showLegendKey val="0"/>
          <c:showVal val="0"/>
          <c:showCatName val="0"/>
          <c:showSerName val="0"/>
          <c:showPercent val="0"/>
          <c:showBubbleSize val="0"/>
        </c:dLbls>
        <c:gapWidth val="50"/>
        <c:overlap val="100"/>
        <c:axId val="531310320"/>
        <c:axId val="531311496"/>
      </c:barChart>
      <c:catAx>
        <c:axId val="53131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31311496"/>
        <c:crosses val="autoZero"/>
        <c:auto val="1"/>
        <c:lblAlgn val="ctr"/>
        <c:lblOffset val="100"/>
        <c:noMultiLvlLbl val="0"/>
      </c:catAx>
      <c:valAx>
        <c:axId val="531311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3103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pivotSource>
    <c:name>[Flood Risk Analysis.xlsx]Sheet1!PivotTable51</c:name>
    <c:fmtId val="-1"/>
  </c:pivotSource>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a:t>Cluster</a:t>
            </a:r>
            <a:r>
              <a:rPr lang="en-US" baseline="0"/>
              <a:t> estimations of persons at risk of flooding by Governorate</a:t>
            </a:r>
            <a:endParaRPr lang="en-US"/>
          </a:p>
        </c:rich>
      </c:tx>
      <c:layout>
        <c:manualLayout>
          <c:xMode val="edge"/>
          <c:yMode val="edge"/>
          <c:x val="0.17864865454964082"/>
          <c:y val="6.6334991708126038E-3"/>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6"/>
          </a:solidFill>
          <a:ln>
            <a:noFill/>
          </a:ln>
          <a:effectLst/>
        </c:spPr>
        <c:marker>
          <c:symbol val="none"/>
        </c:marker>
      </c:pivotFmt>
      <c:pivotFmt>
        <c:idx val="1"/>
        <c:spPr>
          <a:solidFill>
            <a:schemeClr val="accent6"/>
          </a:solidFill>
          <a:ln>
            <a:noFill/>
          </a:ln>
          <a:effectLst/>
        </c:spPr>
        <c:marker>
          <c:symbol val="none"/>
        </c:marker>
      </c:pivotFmt>
      <c:pivotFmt>
        <c:idx val="2"/>
        <c:spPr>
          <a:solidFill>
            <a:schemeClr val="accent6"/>
          </a:solidFill>
          <a:ln>
            <a:noFill/>
          </a:ln>
          <a:effectLst/>
        </c:spPr>
        <c:marker>
          <c:symbol val="none"/>
        </c:marker>
      </c:pivotFmt>
    </c:pivotFmts>
    <c:plotArea>
      <c:layout>
        <c:manualLayout>
          <c:layoutTarget val="inner"/>
          <c:xMode val="edge"/>
          <c:yMode val="edge"/>
          <c:x val="0.20065151389458366"/>
          <c:y val="0.22175787728026533"/>
          <c:w val="0.76910274541620238"/>
          <c:h val="0.52858541935989334"/>
        </c:manualLayout>
      </c:layout>
      <c:barChart>
        <c:barDir val="col"/>
        <c:grouping val="clustered"/>
        <c:varyColors val="0"/>
        <c:ser>
          <c:idx val="0"/>
          <c:order val="0"/>
          <c:tx>
            <c:strRef>
              <c:f>Sheet1!$E$2</c:f>
              <c:strCache>
                <c:ptCount val="1"/>
                <c:pt idx="0">
                  <c:v>Total</c:v>
                </c:pt>
              </c:strCache>
            </c:strRef>
          </c:tx>
          <c:spPr>
            <a:solidFill>
              <a:schemeClr val="accent6"/>
            </a:solidFill>
            <a:ln>
              <a:noFill/>
            </a:ln>
            <a:effectLst/>
          </c:spPr>
          <c:invertIfNegative val="0"/>
          <c:cat>
            <c:strRef>
              <c:f>Sheet1!$D$3:$D$8</c:f>
              <c:strCache>
                <c:ptCount val="5"/>
                <c:pt idx="0">
                  <c:v>North Gaza</c:v>
                </c:pt>
                <c:pt idx="1">
                  <c:v>Gaza</c:v>
                </c:pt>
                <c:pt idx="2">
                  <c:v>Deir Al-Balah</c:v>
                </c:pt>
                <c:pt idx="3">
                  <c:v>Khan Yunis</c:v>
                </c:pt>
                <c:pt idx="4">
                  <c:v>Rafah</c:v>
                </c:pt>
              </c:strCache>
            </c:strRef>
          </c:cat>
          <c:val>
            <c:numRef>
              <c:f>Sheet1!$E$3:$E$8</c:f>
              <c:numCache>
                <c:formatCode>_(* #,##0_);_(* \(#,##0\);_(* "-"??_);_(@_)</c:formatCode>
                <c:ptCount val="5"/>
                <c:pt idx="0">
                  <c:v>41200</c:v>
                </c:pt>
                <c:pt idx="1">
                  <c:v>275000</c:v>
                </c:pt>
                <c:pt idx="2">
                  <c:v>16900</c:v>
                </c:pt>
                <c:pt idx="3">
                  <c:v>104674</c:v>
                </c:pt>
                <c:pt idx="4">
                  <c:v>55906</c:v>
                </c:pt>
              </c:numCache>
            </c:numRef>
          </c:val>
        </c:ser>
        <c:dLbls>
          <c:showLegendKey val="0"/>
          <c:showVal val="0"/>
          <c:showCatName val="0"/>
          <c:showSerName val="0"/>
          <c:showPercent val="0"/>
          <c:showBubbleSize val="0"/>
        </c:dLbls>
        <c:gapWidth val="50"/>
        <c:axId val="531314240"/>
        <c:axId val="531315808"/>
      </c:barChart>
      <c:catAx>
        <c:axId val="53131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315808"/>
        <c:crosses val="autoZero"/>
        <c:auto val="1"/>
        <c:lblAlgn val="ctr"/>
        <c:lblOffset val="100"/>
        <c:noMultiLvlLbl val="0"/>
      </c:catAx>
      <c:valAx>
        <c:axId val="53131580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314240"/>
        <c:crosses val="autoZero"/>
        <c:crossBetween val="between"/>
        <c:dispUnits>
          <c:builtInUnit val="thousand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0">
                <a:latin typeface="+mn-lt"/>
              </a:rPr>
              <a:t>Average</a:t>
            </a:r>
            <a:r>
              <a:rPr lang="en-US" sz="1100" b="0" baseline="0">
                <a:latin typeface="+mn-lt"/>
              </a:rPr>
              <a:t> # of days / week of water service: </a:t>
            </a:r>
          </a:p>
          <a:p>
            <a:pPr>
              <a:defRPr sz="1100"/>
            </a:pPr>
            <a:r>
              <a:rPr lang="en-US" sz="1100" b="0" baseline="0">
                <a:latin typeface="+mn-lt"/>
              </a:rPr>
              <a:t>Winter vs Summer</a:t>
            </a:r>
            <a:endParaRPr lang="en-US" sz="1100" b="0">
              <a:latin typeface="+mn-lt"/>
            </a:endParaRPr>
          </a:p>
        </c:rich>
      </c:tx>
      <c:layout>
        <c:manualLayout>
          <c:xMode val="edge"/>
          <c:yMode val="edge"/>
          <c:x val="0.14816015450898826"/>
          <c:y val="1.6216216216216217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7493954987909976E-2"/>
          <c:y val="0.27314776735710589"/>
          <c:w val="0.70414625829251654"/>
          <c:h val="0.48636875804537172"/>
        </c:manualLayout>
      </c:layout>
      <c:barChart>
        <c:barDir val="col"/>
        <c:grouping val="clustered"/>
        <c:varyColors val="0"/>
        <c:ser>
          <c:idx val="0"/>
          <c:order val="0"/>
          <c:tx>
            <c:strRef>
              <c:f>Outputs!$T$29</c:f>
              <c:strCache>
                <c:ptCount val="1"/>
                <c:pt idx="0">
                  <c:v>Av Days/Week Winter</c:v>
                </c:pt>
              </c:strCache>
            </c:strRef>
          </c:tx>
          <c:spPr>
            <a:solidFill>
              <a:srgbClr val="0070C0"/>
            </a:solidFill>
            <a:ln>
              <a:noFill/>
            </a:ln>
            <a:effectLst/>
          </c:spPr>
          <c:invertIfNegative val="0"/>
          <c:cat>
            <c:strRef>
              <c:f>Outputs!$S$30:$S$35</c:f>
              <c:strCache>
                <c:ptCount val="6"/>
                <c:pt idx="0">
                  <c:v>North Gaza</c:v>
                </c:pt>
                <c:pt idx="1">
                  <c:v>Gaza</c:v>
                </c:pt>
                <c:pt idx="2">
                  <c:v>Deir al-Balah</c:v>
                </c:pt>
                <c:pt idx="3">
                  <c:v>Khan Yunis</c:v>
                </c:pt>
                <c:pt idx="4">
                  <c:v>Rafah</c:v>
                </c:pt>
                <c:pt idx="5">
                  <c:v>Average</c:v>
                </c:pt>
              </c:strCache>
            </c:strRef>
          </c:cat>
          <c:val>
            <c:numRef>
              <c:f>Outputs!$T$30:$T$35</c:f>
              <c:numCache>
                <c:formatCode>General</c:formatCode>
                <c:ptCount val="6"/>
                <c:pt idx="0">
                  <c:v>6.8</c:v>
                </c:pt>
                <c:pt idx="1">
                  <c:v>4.4000000000000004</c:v>
                </c:pt>
                <c:pt idx="2">
                  <c:v>5.0999999999999996</c:v>
                </c:pt>
                <c:pt idx="3">
                  <c:v>5</c:v>
                </c:pt>
                <c:pt idx="4">
                  <c:v>3.5</c:v>
                </c:pt>
                <c:pt idx="5">
                  <c:v>5.03125</c:v>
                </c:pt>
              </c:numCache>
            </c:numRef>
          </c:val>
        </c:ser>
        <c:ser>
          <c:idx val="1"/>
          <c:order val="1"/>
          <c:tx>
            <c:strRef>
              <c:f>Outputs!$U$29</c:f>
              <c:strCache>
                <c:ptCount val="1"/>
                <c:pt idx="0">
                  <c:v>Av Days/Week Summer</c:v>
                </c:pt>
              </c:strCache>
            </c:strRef>
          </c:tx>
          <c:spPr>
            <a:solidFill>
              <a:srgbClr val="00B0F0"/>
            </a:solidFill>
            <a:ln>
              <a:noFill/>
            </a:ln>
            <a:effectLst/>
          </c:spPr>
          <c:invertIfNegative val="0"/>
          <c:cat>
            <c:strRef>
              <c:f>Outputs!$S$30:$S$35</c:f>
              <c:strCache>
                <c:ptCount val="6"/>
                <c:pt idx="0">
                  <c:v>North Gaza</c:v>
                </c:pt>
                <c:pt idx="1">
                  <c:v>Gaza</c:v>
                </c:pt>
                <c:pt idx="2">
                  <c:v>Deir al-Balah</c:v>
                </c:pt>
                <c:pt idx="3">
                  <c:v>Khan Yunis</c:v>
                </c:pt>
                <c:pt idx="4">
                  <c:v>Rafah</c:v>
                </c:pt>
                <c:pt idx="5">
                  <c:v>Average</c:v>
                </c:pt>
              </c:strCache>
            </c:strRef>
          </c:cat>
          <c:val>
            <c:numRef>
              <c:f>Outputs!$U$30:$U$35</c:f>
              <c:numCache>
                <c:formatCode>General</c:formatCode>
                <c:ptCount val="6"/>
                <c:pt idx="0">
                  <c:v>6.8</c:v>
                </c:pt>
                <c:pt idx="1">
                  <c:v>4.4000000000000004</c:v>
                </c:pt>
                <c:pt idx="2">
                  <c:v>4</c:v>
                </c:pt>
                <c:pt idx="3">
                  <c:v>4.625</c:v>
                </c:pt>
                <c:pt idx="4">
                  <c:v>2.5</c:v>
                </c:pt>
                <c:pt idx="5">
                  <c:v>4.46875</c:v>
                </c:pt>
              </c:numCache>
            </c:numRef>
          </c:val>
        </c:ser>
        <c:dLbls>
          <c:showLegendKey val="0"/>
          <c:showVal val="0"/>
          <c:showCatName val="0"/>
          <c:showSerName val="0"/>
          <c:showPercent val="0"/>
          <c:showBubbleSize val="0"/>
        </c:dLbls>
        <c:gapWidth val="219"/>
        <c:overlap val="-27"/>
        <c:axId val="211664592"/>
        <c:axId val="528672264"/>
      </c:barChart>
      <c:catAx>
        <c:axId val="21166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28672264"/>
        <c:crosses val="autoZero"/>
        <c:auto val="1"/>
        <c:lblAlgn val="ctr"/>
        <c:lblOffset val="100"/>
        <c:noMultiLvlLbl val="0"/>
      </c:catAx>
      <c:valAx>
        <c:axId val="528672264"/>
        <c:scaling>
          <c:orientation val="minMax"/>
          <c:max val="7"/>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664592"/>
        <c:crosses val="autoZero"/>
        <c:crossBetween val="between"/>
        <c:majorUnit val="1"/>
      </c:valAx>
      <c:spPr>
        <a:noFill/>
        <a:ln>
          <a:noFill/>
        </a:ln>
        <a:effectLst/>
      </c:spPr>
    </c:plotArea>
    <c:legend>
      <c:legendPos val="r"/>
      <c:layout>
        <c:manualLayout>
          <c:xMode val="edge"/>
          <c:yMode val="edge"/>
          <c:x val="0.7631229462458925"/>
          <c:y val="0.21439256398682649"/>
          <c:w val="0.21325500651001303"/>
          <c:h val="0.717626092916729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a:t>Cluster estimations of proportion at risk of flooding by Governorate</a:t>
            </a:r>
          </a:p>
        </c:rich>
      </c:tx>
      <c:layout>
        <c:manualLayout>
          <c:xMode val="edge"/>
          <c:yMode val="edge"/>
          <c:x val="0.14528677401845486"/>
          <c:y val="2.0066889632107024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650988058848484"/>
          <c:y val="0.26384800849680468"/>
          <c:w val="0.67930915511075185"/>
          <c:h val="0.5104548426359734"/>
        </c:manualLayout>
      </c:layout>
      <c:barChart>
        <c:barDir val="col"/>
        <c:grouping val="percentStacked"/>
        <c:varyColors val="0"/>
        <c:ser>
          <c:idx val="1"/>
          <c:order val="1"/>
          <c:tx>
            <c:strRef>
              <c:f>Sheet1!$K$2</c:f>
              <c:strCache>
                <c:ptCount val="1"/>
                <c:pt idx="0">
                  <c:v>At risk</c:v>
                </c:pt>
              </c:strCache>
            </c:strRef>
          </c:tx>
          <c:spPr>
            <a:solidFill>
              <a:schemeClr val="accent6">
                <a:lumMod val="75000"/>
              </a:schemeClr>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Sheet1!$I$3:$I$8</c:f>
              <c:strCache>
                <c:ptCount val="6"/>
                <c:pt idx="0">
                  <c:v>North Gaza</c:v>
                </c:pt>
                <c:pt idx="1">
                  <c:v>Gaza</c:v>
                </c:pt>
                <c:pt idx="2">
                  <c:v>Deir Al-Balah</c:v>
                </c:pt>
                <c:pt idx="3">
                  <c:v>Khan Yunis</c:v>
                </c:pt>
                <c:pt idx="4">
                  <c:v>Rafah</c:v>
                </c:pt>
                <c:pt idx="5">
                  <c:v>Average</c:v>
                </c:pt>
              </c:strCache>
            </c:strRef>
          </c:cat>
          <c:val>
            <c:numRef>
              <c:f>Sheet1!$K$3:$K$8</c:f>
              <c:numCache>
                <c:formatCode>0%</c:formatCode>
                <c:ptCount val="6"/>
                <c:pt idx="0">
                  <c:v>0.10924759695061319</c:v>
                </c:pt>
                <c:pt idx="1">
                  <c:v>0.42622178411789141</c:v>
                </c:pt>
                <c:pt idx="2">
                  <c:v>6.1818713878118367E-2</c:v>
                </c:pt>
                <c:pt idx="3">
                  <c:v>0.29742508538532791</c:v>
                </c:pt>
                <c:pt idx="4">
                  <c:v>0.23943740390339588</c:v>
                </c:pt>
                <c:pt idx="5">
                  <c:v>0.26243772366851448</c:v>
                </c:pt>
              </c:numCache>
            </c:numRef>
          </c:val>
        </c:ser>
        <c:ser>
          <c:idx val="2"/>
          <c:order val="2"/>
          <c:tx>
            <c:strRef>
              <c:f>Sheet1!$L$2</c:f>
              <c:strCache>
                <c:ptCount val="1"/>
                <c:pt idx="0">
                  <c:v>Not at risk</c:v>
                </c:pt>
              </c:strCache>
            </c:strRef>
          </c:tx>
          <c:spPr>
            <a:solidFill>
              <a:schemeClr val="accent5">
                <a:lumMod val="60000"/>
                <a:lumOff val="40000"/>
              </a:schemeClr>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Sheet1!$I$3:$I$8</c:f>
              <c:strCache>
                <c:ptCount val="6"/>
                <c:pt idx="0">
                  <c:v>North Gaza</c:v>
                </c:pt>
                <c:pt idx="1">
                  <c:v>Gaza</c:v>
                </c:pt>
                <c:pt idx="2">
                  <c:v>Deir Al-Balah</c:v>
                </c:pt>
                <c:pt idx="3">
                  <c:v>Khan Yunis</c:v>
                </c:pt>
                <c:pt idx="4">
                  <c:v>Rafah</c:v>
                </c:pt>
                <c:pt idx="5">
                  <c:v>Average</c:v>
                </c:pt>
              </c:strCache>
            </c:strRef>
          </c:cat>
          <c:val>
            <c:numRef>
              <c:f>Sheet1!$L$3:$L$8</c:f>
              <c:numCache>
                <c:formatCode>0%</c:formatCode>
                <c:ptCount val="6"/>
                <c:pt idx="0">
                  <c:v>0.89075240304938685</c:v>
                </c:pt>
                <c:pt idx="1">
                  <c:v>0.57377821588210864</c:v>
                </c:pt>
                <c:pt idx="2">
                  <c:v>0.93818128612188167</c:v>
                </c:pt>
                <c:pt idx="3">
                  <c:v>0.70257491461467203</c:v>
                </c:pt>
                <c:pt idx="4">
                  <c:v>0.76056259609660415</c:v>
                </c:pt>
                <c:pt idx="5">
                  <c:v>0.73756227633148552</c:v>
                </c:pt>
              </c:numCache>
            </c:numRef>
          </c:val>
        </c:ser>
        <c:dLbls>
          <c:showLegendKey val="0"/>
          <c:showVal val="0"/>
          <c:showCatName val="0"/>
          <c:showSerName val="0"/>
          <c:showPercent val="0"/>
          <c:showBubbleSize val="0"/>
        </c:dLbls>
        <c:gapWidth val="50"/>
        <c:overlap val="100"/>
        <c:axId val="530057440"/>
        <c:axId val="530057832"/>
        <c:extLst>
          <c:ext xmlns:c15="http://schemas.microsoft.com/office/drawing/2012/chart" uri="{02D57815-91ED-43cb-92C2-25804820EDAC}">
            <c15:filteredBarSeries>
              <c15:ser>
                <c:idx val="0"/>
                <c:order val="0"/>
                <c:tx>
                  <c:strRef>
                    <c:extLst>
                      <c:ext uri="{02D57815-91ED-43cb-92C2-25804820EDAC}">
                        <c15:formulaRef>
                          <c15:sqref>Sheet1!$J$2</c15:sqref>
                        </c15:formulaRef>
                      </c:ext>
                    </c:extLst>
                    <c:strCache>
                      <c:ptCount val="1"/>
                      <c:pt idx="0">
                        <c:v>Sum of At Risk</c:v>
                      </c:pt>
                    </c:strCache>
                  </c:strRef>
                </c:tx>
                <c:spPr>
                  <a:solidFill>
                    <a:schemeClr val="accent1"/>
                  </a:solidFill>
                  <a:ln>
                    <a:noFill/>
                  </a:ln>
                  <a:effectLst/>
                </c:spPr>
                <c:invertIfNegative val="0"/>
                <c:cat>
                  <c:strRef>
                    <c:extLst>
                      <c:ext uri="{02D57815-91ED-43cb-92C2-25804820EDAC}">
                        <c15:formulaRef>
                          <c15:sqref>Sheet1!$I$3:$I$8</c15:sqref>
                        </c15:formulaRef>
                      </c:ext>
                    </c:extLst>
                    <c:strCache>
                      <c:ptCount val="6"/>
                      <c:pt idx="0">
                        <c:v>North Gaza</c:v>
                      </c:pt>
                      <c:pt idx="1">
                        <c:v>Gaza</c:v>
                      </c:pt>
                      <c:pt idx="2">
                        <c:v>Deir Al-Balah</c:v>
                      </c:pt>
                      <c:pt idx="3">
                        <c:v>Khan Yunis</c:v>
                      </c:pt>
                      <c:pt idx="4">
                        <c:v>Rafah</c:v>
                      </c:pt>
                      <c:pt idx="5">
                        <c:v>Average</c:v>
                      </c:pt>
                    </c:strCache>
                  </c:strRef>
                </c:cat>
                <c:val>
                  <c:numRef>
                    <c:extLst>
                      <c:ext uri="{02D57815-91ED-43cb-92C2-25804820EDAC}">
                        <c15:formulaRef>
                          <c15:sqref>Sheet1!$J$3:$J$8</c15:sqref>
                        </c15:formulaRef>
                      </c:ext>
                    </c:extLst>
                    <c:numCache>
                      <c:formatCode>General</c:formatCode>
                      <c:ptCount val="6"/>
                      <c:pt idx="0">
                        <c:v>41200</c:v>
                      </c:pt>
                      <c:pt idx="1">
                        <c:v>275000</c:v>
                      </c:pt>
                      <c:pt idx="2">
                        <c:v>16900</c:v>
                      </c:pt>
                      <c:pt idx="3">
                        <c:v>104674</c:v>
                      </c:pt>
                      <c:pt idx="4">
                        <c:v>55906</c:v>
                      </c:pt>
                      <c:pt idx="5">
                        <c:v>493680</c:v>
                      </c:pt>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Sheet1!$M$2</c15:sqref>
                        </c15:formulaRef>
                      </c:ext>
                    </c:extLst>
                    <c:strCache>
                      <c:ptCount val="1"/>
                      <c:pt idx="0">
                        <c:v>Column1</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Sheet1!$I$3:$I$8</c15:sqref>
                        </c15:formulaRef>
                      </c:ext>
                    </c:extLst>
                    <c:strCache>
                      <c:ptCount val="6"/>
                      <c:pt idx="0">
                        <c:v>North Gaza</c:v>
                      </c:pt>
                      <c:pt idx="1">
                        <c:v>Gaza</c:v>
                      </c:pt>
                      <c:pt idx="2">
                        <c:v>Deir Al-Balah</c:v>
                      </c:pt>
                      <c:pt idx="3">
                        <c:v>Khan Yunis</c:v>
                      </c:pt>
                      <c:pt idx="4">
                        <c:v>Rafah</c:v>
                      </c:pt>
                      <c:pt idx="5">
                        <c:v>Average</c:v>
                      </c:pt>
                    </c:strCache>
                  </c:strRef>
                </c:cat>
                <c:val>
                  <c:numRef>
                    <c:extLst xmlns:c15="http://schemas.microsoft.com/office/drawing/2012/chart">
                      <c:ext xmlns:c15="http://schemas.microsoft.com/office/drawing/2012/chart" uri="{02D57815-91ED-43cb-92C2-25804820EDAC}">
                        <c15:formulaRef>
                          <c15:sqref>Sheet1!$M$3:$M$8</c15:sqref>
                        </c15:formulaRef>
                      </c:ext>
                    </c:extLst>
                    <c:numCache>
                      <c:formatCode>General</c:formatCode>
                      <c:ptCount val="6"/>
                      <c:pt idx="0">
                        <c:v>377125</c:v>
                      </c:pt>
                      <c:pt idx="1">
                        <c:v>645204</c:v>
                      </c:pt>
                      <c:pt idx="2">
                        <c:v>273380</c:v>
                      </c:pt>
                      <c:pt idx="3">
                        <c:v>351934</c:v>
                      </c:pt>
                      <c:pt idx="4">
                        <c:v>233489</c:v>
                      </c:pt>
                      <c:pt idx="5">
                        <c:v>1881132</c:v>
                      </c:pt>
                    </c:numCache>
                  </c:numRef>
                </c:val>
              </c15:ser>
            </c15:filteredBarSeries>
          </c:ext>
        </c:extLst>
      </c:barChart>
      <c:catAx>
        <c:axId val="53005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57832"/>
        <c:crosses val="autoZero"/>
        <c:auto val="1"/>
        <c:lblAlgn val="ctr"/>
        <c:lblOffset val="100"/>
        <c:noMultiLvlLbl val="0"/>
      </c:catAx>
      <c:valAx>
        <c:axId val="530057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57440"/>
        <c:crosses val="autoZero"/>
        <c:crossBetween val="between"/>
      </c:valAx>
      <c:spPr>
        <a:noFill/>
        <a:ln>
          <a:noFill/>
        </a:ln>
        <a:effectLst/>
      </c:spPr>
    </c:plotArea>
    <c:legend>
      <c:legendPos val="r"/>
      <c:layout>
        <c:manualLayout>
          <c:xMode val="edge"/>
          <c:yMode val="edge"/>
          <c:x val="0.80581903569923674"/>
          <c:y val="0.38868321657841315"/>
          <c:w val="0.19418096430076329"/>
          <c:h val="0.180361945862970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HHs</a:t>
            </a:r>
            <a:r>
              <a:rPr lang="en-US" sz="1100" baseline="0"/>
              <a:t> reporting a s</a:t>
            </a:r>
            <a:r>
              <a:rPr lang="en-US" sz="1100"/>
              <a:t>ewerage</a:t>
            </a:r>
            <a:r>
              <a:rPr lang="en-US" sz="1100" baseline="0"/>
              <a:t> flood near home in past year</a:t>
            </a: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232118846618797"/>
          <c:y val="0.32780114722753345"/>
          <c:w val="0.59180453943416667"/>
          <c:h val="0.4674794935282866"/>
        </c:manualLayout>
      </c:layout>
      <c:barChart>
        <c:barDir val="col"/>
        <c:grouping val="percentStacked"/>
        <c:varyColors val="0"/>
        <c:ser>
          <c:idx val="0"/>
          <c:order val="0"/>
          <c:tx>
            <c:strRef>
              <c:f>WWFlood!$I$3</c:f>
              <c:strCache>
                <c:ptCount val="1"/>
                <c:pt idx="0">
                  <c:v>None</c:v>
                </c:pt>
              </c:strCache>
            </c:strRef>
          </c:tx>
          <c:spPr>
            <a:solidFill>
              <a:schemeClr val="accent5">
                <a:lumMod val="50000"/>
              </a:schemeClr>
            </a:solidFill>
            <a:ln>
              <a:noFill/>
            </a:ln>
            <a:effectLst/>
          </c:spPr>
          <c:invertIfNegative val="0"/>
          <c:cat>
            <c:strRef>
              <c:f>WWFlood!$H$4:$H$9</c:f>
              <c:strCache>
                <c:ptCount val="6"/>
                <c:pt idx="0">
                  <c:v>North</c:v>
                </c:pt>
                <c:pt idx="1">
                  <c:v>Gaza</c:v>
                </c:pt>
                <c:pt idx="2">
                  <c:v>Deir al Balah</c:v>
                </c:pt>
                <c:pt idx="3">
                  <c:v>Khan Yunis</c:v>
                </c:pt>
                <c:pt idx="4">
                  <c:v>Rafah</c:v>
                </c:pt>
                <c:pt idx="5">
                  <c:v>Average</c:v>
                </c:pt>
              </c:strCache>
            </c:strRef>
          </c:cat>
          <c:val>
            <c:numRef>
              <c:f>WWFlood!$I$4:$I$9</c:f>
              <c:numCache>
                <c:formatCode>General</c:formatCode>
                <c:ptCount val="6"/>
                <c:pt idx="0">
                  <c:v>158</c:v>
                </c:pt>
                <c:pt idx="1">
                  <c:v>461</c:v>
                </c:pt>
                <c:pt idx="2">
                  <c:v>292</c:v>
                </c:pt>
                <c:pt idx="3">
                  <c:v>249</c:v>
                </c:pt>
                <c:pt idx="4">
                  <c:v>239</c:v>
                </c:pt>
                <c:pt idx="5">
                  <c:v>1399</c:v>
                </c:pt>
              </c:numCache>
            </c:numRef>
          </c:val>
        </c:ser>
        <c:ser>
          <c:idx val="1"/>
          <c:order val="1"/>
          <c:tx>
            <c:strRef>
              <c:f>WWFlood!$J$3</c:f>
              <c:strCache>
                <c:ptCount val="1"/>
                <c:pt idx="0">
                  <c:v>Summer and winter</c:v>
                </c:pt>
              </c:strCache>
            </c:strRef>
          </c:tx>
          <c:spPr>
            <a:solidFill>
              <a:schemeClr val="accent6">
                <a:shade val="86000"/>
              </a:schemeClr>
            </a:solidFill>
            <a:ln>
              <a:noFill/>
            </a:ln>
            <a:effectLst/>
          </c:spPr>
          <c:invertIfNegative val="0"/>
          <c:cat>
            <c:strRef>
              <c:f>WWFlood!$H$4:$H$9</c:f>
              <c:strCache>
                <c:ptCount val="6"/>
                <c:pt idx="0">
                  <c:v>North</c:v>
                </c:pt>
                <c:pt idx="1">
                  <c:v>Gaza</c:v>
                </c:pt>
                <c:pt idx="2">
                  <c:v>Deir al Balah</c:v>
                </c:pt>
                <c:pt idx="3">
                  <c:v>Khan Yunis</c:v>
                </c:pt>
                <c:pt idx="4">
                  <c:v>Rafah</c:v>
                </c:pt>
                <c:pt idx="5">
                  <c:v>Average</c:v>
                </c:pt>
              </c:strCache>
            </c:strRef>
          </c:cat>
          <c:val>
            <c:numRef>
              <c:f>WWFlood!$J$4:$J$9</c:f>
              <c:numCache>
                <c:formatCode>General</c:formatCode>
                <c:ptCount val="6"/>
                <c:pt idx="0">
                  <c:v>254</c:v>
                </c:pt>
                <c:pt idx="1">
                  <c:v>241</c:v>
                </c:pt>
                <c:pt idx="2">
                  <c:v>98</c:v>
                </c:pt>
                <c:pt idx="3">
                  <c:v>282</c:v>
                </c:pt>
                <c:pt idx="4">
                  <c:v>226</c:v>
                </c:pt>
                <c:pt idx="5">
                  <c:v>1101</c:v>
                </c:pt>
              </c:numCache>
            </c:numRef>
          </c:val>
        </c:ser>
        <c:ser>
          <c:idx val="2"/>
          <c:order val="2"/>
          <c:tx>
            <c:strRef>
              <c:f>WWFlood!$K$3</c:f>
              <c:strCache>
                <c:ptCount val="1"/>
                <c:pt idx="0">
                  <c:v>Winter</c:v>
                </c:pt>
              </c:strCache>
            </c:strRef>
          </c:tx>
          <c:spPr>
            <a:solidFill>
              <a:schemeClr val="accent6">
                <a:tint val="86000"/>
              </a:schemeClr>
            </a:solidFill>
            <a:ln>
              <a:noFill/>
            </a:ln>
            <a:effectLst/>
          </c:spPr>
          <c:invertIfNegative val="0"/>
          <c:cat>
            <c:strRef>
              <c:f>WWFlood!$H$4:$H$9</c:f>
              <c:strCache>
                <c:ptCount val="6"/>
                <c:pt idx="0">
                  <c:v>North</c:v>
                </c:pt>
                <c:pt idx="1">
                  <c:v>Gaza</c:v>
                </c:pt>
                <c:pt idx="2">
                  <c:v>Deir al Balah</c:v>
                </c:pt>
                <c:pt idx="3">
                  <c:v>Khan Yunis</c:v>
                </c:pt>
                <c:pt idx="4">
                  <c:v>Rafah</c:v>
                </c:pt>
                <c:pt idx="5">
                  <c:v>Average</c:v>
                </c:pt>
              </c:strCache>
            </c:strRef>
          </c:cat>
          <c:val>
            <c:numRef>
              <c:f>WWFlood!$K$4:$K$9</c:f>
              <c:numCache>
                <c:formatCode>General</c:formatCode>
                <c:ptCount val="6"/>
                <c:pt idx="0">
                  <c:v>245</c:v>
                </c:pt>
                <c:pt idx="1">
                  <c:v>150</c:v>
                </c:pt>
                <c:pt idx="2">
                  <c:v>25</c:v>
                </c:pt>
                <c:pt idx="3">
                  <c:v>32</c:v>
                </c:pt>
                <c:pt idx="4">
                  <c:v>57</c:v>
                </c:pt>
                <c:pt idx="5">
                  <c:v>509</c:v>
                </c:pt>
              </c:numCache>
            </c:numRef>
          </c:val>
        </c:ser>
        <c:ser>
          <c:idx val="3"/>
          <c:order val="3"/>
          <c:tx>
            <c:strRef>
              <c:f>WWFlood!$L$3</c:f>
              <c:strCache>
                <c:ptCount val="1"/>
                <c:pt idx="0">
                  <c:v>Summer</c:v>
                </c:pt>
              </c:strCache>
            </c:strRef>
          </c:tx>
          <c:spPr>
            <a:solidFill>
              <a:schemeClr val="accent6">
                <a:tint val="58000"/>
              </a:schemeClr>
            </a:solidFill>
            <a:ln>
              <a:noFill/>
            </a:ln>
            <a:effectLst/>
          </c:spPr>
          <c:invertIfNegative val="0"/>
          <c:cat>
            <c:strRef>
              <c:f>WWFlood!$H$4:$H$9</c:f>
              <c:strCache>
                <c:ptCount val="6"/>
                <c:pt idx="0">
                  <c:v>North</c:v>
                </c:pt>
                <c:pt idx="1">
                  <c:v>Gaza</c:v>
                </c:pt>
                <c:pt idx="2">
                  <c:v>Deir al Balah</c:v>
                </c:pt>
                <c:pt idx="3">
                  <c:v>Khan Yunis</c:v>
                </c:pt>
                <c:pt idx="4">
                  <c:v>Rafah</c:v>
                </c:pt>
                <c:pt idx="5">
                  <c:v>Average</c:v>
                </c:pt>
              </c:strCache>
            </c:strRef>
          </c:cat>
          <c:val>
            <c:numRef>
              <c:f>WWFlood!$L$4:$L$9</c:f>
              <c:numCache>
                <c:formatCode>General</c:formatCode>
                <c:ptCount val="6"/>
                <c:pt idx="0">
                  <c:v>18</c:v>
                </c:pt>
                <c:pt idx="1">
                  <c:v>45</c:v>
                </c:pt>
                <c:pt idx="2">
                  <c:v>17</c:v>
                </c:pt>
                <c:pt idx="3">
                  <c:v>28</c:v>
                </c:pt>
                <c:pt idx="4">
                  <c:v>7</c:v>
                </c:pt>
                <c:pt idx="5">
                  <c:v>115</c:v>
                </c:pt>
              </c:numCache>
            </c:numRef>
          </c:val>
        </c:ser>
        <c:dLbls>
          <c:showLegendKey val="0"/>
          <c:showVal val="0"/>
          <c:showCatName val="0"/>
          <c:showSerName val="0"/>
          <c:showPercent val="0"/>
          <c:showBubbleSize val="0"/>
        </c:dLbls>
        <c:gapWidth val="50"/>
        <c:overlap val="100"/>
        <c:axId val="530060184"/>
        <c:axId val="530059008"/>
      </c:barChart>
      <c:catAx>
        <c:axId val="530060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30059008"/>
        <c:crosses val="autoZero"/>
        <c:auto val="1"/>
        <c:lblAlgn val="ctr"/>
        <c:lblOffset val="100"/>
        <c:noMultiLvlLbl val="0"/>
      </c:catAx>
      <c:valAx>
        <c:axId val="530059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60184"/>
        <c:crosses val="autoZero"/>
        <c:crossBetween val="between"/>
      </c:valAx>
      <c:spPr>
        <a:noFill/>
        <a:ln>
          <a:noFill/>
        </a:ln>
        <a:effectLst/>
      </c:spPr>
    </c:plotArea>
    <c:legend>
      <c:legendPos val="r"/>
      <c:layout>
        <c:manualLayout>
          <c:xMode val="edge"/>
          <c:yMode val="edge"/>
          <c:x val="0.71412563814138619"/>
          <c:y val="0.27879061689568985"/>
          <c:w val="0.28191934778174482"/>
          <c:h val="0.71530563150545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pivotSource>
    <c:name>[Gaza WASH Assessment_raw data_GVC_edited.xlsx]Pivots!PivotTable89</c:name>
    <c:fmtId val="-1"/>
  </c:pivotSource>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a:t>HH</a:t>
            </a:r>
            <a:r>
              <a:rPr lang="en-US" baseline="0"/>
              <a:t> Solid Waste Disposal Practices by Governorate</a:t>
            </a:r>
            <a:endParaRPr lang="en-US"/>
          </a:p>
        </c:rich>
      </c:tx>
      <c:layout>
        <c:manualLayout>
          <c:xMode val="edge"/>
          <c:yMode val="edge"/>
          <c:x val="9.6272983269836007E-2"/>
          <c:y val="2.8605235820932214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5"/>
          </a:solidFill>
          <a:ln>
            <a:noFill/>
          </a:ln>
          <a:effectLst/>
        </c:spPr>
        <c:marker>
          <c:symbol val="none"/>
        </c:marker>
      </c:pivotFmt>
      <c:pivotFmt>
        <c:idx val="1"/>
        <c:spPr>
          <a:solidFill>
            <a:schemeClr val="accent5"/>
          </a:solidFill>
          <a:ln>
            <a:noFill/>
          </a:ln>
          <a:effectLst/>
        </c:spPr>
        <c:marker>
          <c:symbol val="none"/>
        </c:marker>
      </c:pivotFmt>
      <c:pivotFmt>
        <c:idx val="2"/>
        <c:spPr>
          <a:solidFill>
            <a:schemeClr val="accent5"/>
          </a:solidFill>
          <a:ln>
            <a:noFill/>
          </a:ln>
          <a:effectLst/>
        </c:spPr>
        <c:marker>
          <c:symbol val="none"/>
        </c:marker>
      </c:pivotFmt>
      <c:pivotFmt>
        <c:idx val="3"/>
        <c:spPr>
          <a:solidFill>
            <a:schemeClr val="accent5"/>
          </a:solidFill>
          <a:ln>
            <a:noFill/>
          </a:ln>
          <a:effectLst/>
        </c:spPr>
        <c:marker>
          <c:symbol val="none"/>
        </c:marker>
      </c:pivotFmt>
      <c:pivotFmt>
        <c:idx val="4"/>
        <c:spPr>
          <a:solidFill>
            <a:schemeClr val="accent5"/>
          </a:solidFill>
          <a:ln>
            <a:noFill/>
          </a:ln>
          <a:effectLst/>
        </c:spPr>
        <c:marker>
          <c:symbol val="none"/>
        </c:marker>
      </c:pivotFmt>
      <c:pivotFmt>
        <c:idx val="5"/>
        <c:spPr>
          <a:solidFill>
            <a:schemeClr val="accent5"/>
          </a:solidFill>
          <a:ln>
            <a:noFill/>
          </a:ln>
          <a:effectLst/>
        </c:spPr>
        <c:marker>
          <c:symbol val="none"/>
        </c:marker>
      </c:pivotFmt>
      <c:pivotFmt>
        <c:idx val="6"/>
        <c:spPr>
          <a:solidFill>
            <a:schemeClr val="accent5"/>
          </a:solidFill>
          <a:ln>
            <a:noFill/>
          </a:ln>
          <a:effectLst/>
        </c:spPr>
        <c:marker>
          <c:symbol val="none"/>
        </c:marker>
      </c:pivotFmt>
      <c:pivotFmt>
        <c:idx val="7"/>
        <c:spPr>
          <a:solidFill>
            <a:schemeClr val="accent5"/>
          </a:solidFill>
          <a:ln>
            <a:noFill/>
          </a:ln>
          <a:effectLst/>
        </c:spPr>
        <c:marker>
          <c:symbol val="none"/>
        </c:marker>
      </c:pivotFmt>
      <c:pivotFmt>
        <c:idx val="8"/>
        <c:spPr>
          <a:solidFill>
            <a:schemeClr val="accent5"/>
          </a:solidFill>
          <a:ln>
            <a:noFill/>
          </a:ln>
          <a:effectLst/>
        </c:spPr>
        <c:marker>
          <c:symbol val="none"/>
        </c:marker>
      </c:pivotFmt>
      <c:pivotFmt>
        <c:idx val="9"/>
        <c:spPr>
          <a:solidFill>
            <a:schemeClr val="accent5"/>
          </a:solidFill>
          <a:ln>
            <a:noFill/>
          </a:ln>
          <a:effectLst/>
        </c:spPr>
        <c:marker>
          <c:symbol val="none"/>
        </c:marker>
      </c:pivotFmt>
      <c:pivotFmt>
        <c:idx val="10"/>
        <c:spPr>
          <a:solidFill>
            <a:schemeClr val="accent5"/>
          </a:solidFill>
          <a:ln>
            <a:noFill/>
          </a:ln>
          <a:effectLst/>
        </c:spPr>
        <c:marker>
          <c:symbol val="none"/>
        </c:marker>
      </c:pivotFmt>
      <c:pivotFmt>
        <c:idx val="11"/>
        <c:spPr>
          <a:solidFill>
            <a:schemeClr val="accent5"/>
          </a:solidFill>
          <a:ln>
            <a:noFill/>
          </a:ln>
          <a:effectLst/>
        </c:spPr>
        <c:marker>
          <c:symbol val="none"/>
        </c:marker>
      </c:pivotFmt>
    </c:pivotFmts>
    <c:plotArea>
      <c:layout>
        <c:manualLayout>
          <c:layoutTarget val="inner"/>
          <c:xMode val="edge"/>
          <c:yMode val="edge"/>
          <c:x val="0.16766623724213989"/>
          <c:y val="0.21387373940620702"/>
          <c:w val="0.59969296947041795"/>
          <c:h val="0.61176553750453322"/>
        </c:manualLayout>
      </c:layout>
      <c:barChart>
        <c:barDir val="bar"/>
        <c:grouping val="percentStacked"/>
        <c:varyColors val="0"/>
        <c:ser>
          <c:idx val="0"/>
          <c:order val="0"/>
          <c:tx>
            <c:strRef>
              <c:f>Pivots!$B$250:$B$251</c:f>
              <c:strCache>
                <c:ptCount val="1"/>
                <c:pt idx="0">
                  <c:v>Empty space</c:v>
                </c:pt>
              </c:strCache>
            </c:strRef>
          </c:tx>
          <c:spPr>
            <a:solidFill>
              <a:schemeClr val="accent6">
                <a:lumMod val="75000"/>
              </a:schemeClr>
            </a:solidFill>
            <a:ln>
              <a:noFill/>
            </a:ln>
            <a:effectLst/>
          </c:spPr>
          <c:invertIfNegative val="0"/>
          <c:cat>
            <c:strRef>
              <c:f>Pivots!$A$252:$A$257</c:f>
              <c:strCache>
                <c:ptCount val="5"/>
                <c:pt idx="0">
                  <c:v>Rafah</c:v>
                </c:pt>
                <c:pt idx="1">
                  <c:v>Khan Yunis</c:v>
                </c:pt>
                <c:pt idx="2">
                  <c:v>Middle</c:v>
                </c:pt>
                <c:pt idx="3">
                  <c:v>Gaza</c:v>
                </c:pt>
                <c:pt idx="4">
                  <c:v>North</c:v>
                </c:pt>
              </c:strCache>
            </c:strRef>
          </c:cat>
          <c:val>
            <c:numRef>
              <c:f>Pivots!$B$252:$B$257</c:f>
              <c:numCache>
                <c:formatCode>0.00%</c:formatCode>
                <c:ptCount val="5"/>
                <c:pt idx="0">
                  <c:v>0.88930581613508441</c:v>
                </c:pt>
                <c:pt idx="1">
                  <c:v>0.52188006482982174</c:v>
                </c:pt>
                <c:pt idx="2">
                  <c:v>0.46543778801843316</c:v>
                </c:pt>
                <c:pt idx="3">
                  <c:v>0.66666666666666663</c:v>
                </c:pt>
                <c:pt idx="4">
                  <c:v>0.50887573964497046</c:v>
                </c:pt>
              </c:numCache>
            </c:numRef>
          </c:val>
        </c:ser>
        <c:ser>
          <c:idx val="1"/>
          <c:order val="1"/>
          <c:tx>
            <c:strRef>
              <c:f>Pivots!$C$250:$C$251</c:f>
              <c:strCache>
                <c:ptCount val="1"/>
                <c:pt idx="0">
                  <c:v>Container</c:v>
                </c:pt>
              </c:strCache>
            </c:strRef>
          </c:tx>
          <c:spPr>
            <a:solidFill>
              <a:schemeClr val="accent5">
                <a:shade val="86000"/>
              </a:schemeClr>
            </a:solidFill>
            <a:ln>
              <a:noFill/>
            </a:ln>
            <a:effectLst/>
          </c:spPr>
          <c:invertIfNegative val="0"/>
          <c:cat>
            <c:strRef>
              <c:f>Pivots!$A$252:$A$257</c:f>
              <c:strCache>
                <c:ptCount val="5"/>
                <c:pt idx="0">
                  <c:v>Rafah</c:v>
                </c:pt>
                <c:pt idx="1">
                  <c:v>Khan Yunis</c:v>
                </c:pt>
                <c:pt idx="2">
                  <c:v>Middle</c:v>
                </c:pt>
                <c:pt idx="3">
                  <c:v>Gaza</c:v>
                </c:pt>
                <c:pt idx="4">
                  <c:v>North</c:v>
                </c:pt>
              </c:strCache>
            </c:strRef>
          </c:cat>
          <c:val>
            <c:numRef>
              <c:f>Pivots!$C$252:$C$257</c:f>
              <c:numCache>
                <c:formatCode>0.00%</c:formatCode>
                <c:ptCount val="5"/>
                <c:pt idx="0">
                  <c:v>7.6923076923076927E-2</c:v>
                </c:pt>
                <c:pt idx="1">
                  <c:v>0.46677471636953</c:v>
                </c:pt>
                <c:pt idx="2">
                  <c:v>0.49078341013824883</c:v>
                </c:pt>
                <c:pt idx="3">
                  <c:v>0.32119205298013243</c:v>
                </c:pt>
                <c:pt idx="4">
                  <c:v>0.48816568047337278</c:v>
                </c:pt>
              </c:numCache>
            </c:numRef>
          </c:val>
        </c:ser>
        <c:ser>
          <c:idx val="2"/>
          <c:order val="2"/>
          <c:tx>
            <c:strRef>
              <c:f>Pivots!$D$250:$D$251</c:f>
              <c:strCache>
                <c:ptCount val="1"/>
                <c:pt idx="0">
                  <c:v>Burn</c:v>
                </c:pt>
              </c:strCache>
            </c:strRef>
          </c:tx>
          <c:spPr>
            <a:solidFill>
              <a:schemeClr val="accent5">
                <a:tint val="86000"/>
              </a:schemeClr>
            </a:solidFill>
            <a:ln>
              <a:noFill/>
            </a:ln>
            <a:effectLst/>
          </c:spPr>
          <c:invertIfNegative val="0"/>
          <c:cat>
            <c:strRef>
              <c:f>Pivots!$A$252:$A$257</c:f>
              <c:strCache>
                <c:ptCount val="5"/>
                <c:pt idx="0">
                  <c:v>Rafah</c:v>
                </c:pt>
                <c:pt idx="1">
                  <c:v>Khan Yunis</c:v>
                </c:pt>
                <c:pt idx="2">
                  <c:v>Middle</c:v>
                </c:pt>
                <c:pt idx="3">
                  <c:v>Gaza</c:v>
                </c:pt>
                <c:pt idx="4">
                  <c:v>North</c:v>
                </c:pt>
              </c:strCache>
            </c:strRef>
          </c:cat>
          <c:val>
            <c:numRef>
              <c:f>Pivots!$D$252:$D$257</c:f>
              <c:numCache>
                <c:formatCode>0.00%</c:formatCode>
                <c:ptCount val="5"/>
                <c:pt idx="0">
                  <c:v>2.6266416510318951E-2</c:v>
                </c:pt>
                <c:pt idx="1">
                  <c:v>6.4829821717990272E-3</c:v>
                </c:pt>
                <c:pt idx="2">
                  <c:v>4.377880184331797E-2</c:v>
                </c:pt>
                <c:pt idx="3">
                  <c:v>1.1037527593818985E-2</c:v>
                </c:pt>
                <c:pt idx="4">
                  <c:v>2.9585798816568047E-3</c:v>
                </c:pt>
              </c:numCache>
            </c:numRef>
          </c:val>
        </c:ser>
        <c:ser>
          <c:idx val="3"/>
          <c:order val="3"/>
          <c:tx>
            <c:strRef>
              <c:f>Pivots!$E$250:$E$251</c:f>
              <c:strCache>
                <c:ptCount val="1"/>
                <c:pt idx="0">
                  <c:v>Bury</c:v>
                </c:pt>
              </c:strCache>
            </c:strRef>
          </c:tx>
          <c:spPr>
            <a:solidFill>
              <a:schemeClr val="accent5">
                <a:tint val="58000"/>
              </a:schemeClr>
            </a:solidFill>
            <a:ln>
              <a:noFill/>
            </a:ln>
            <a:effectLst/>
          </c:spPr>
          <c:invertIfNegative val="0"/>
          <c:cat>
            <c:strRef>
              <c:f>Pivots!$A$252:$A$257</c:f>
              <c:strCache>
                <c:ptCount val="5"/>
                <c:pt idx="0">
                  <c:v>Rafah</c:v>
                </c:pt>
                <c:pt idx="1">
                  <c:v>Khan Yunis</c:v>
                </c:pt>
                <c:pt idx="2">
                  <c:v>Middle</c:v>
                </c:pt>
                <c:pt idx="3">
                  <c:v>Gaza</c:v>
                </c:pt>
                <c:pt idx="4">
                  <c:v>North</c:v>
                </c:pt>
              </c:strCache>
            </c:strRef>
          </c:cat>
          <c:val>
            <c:numRef>
              <c:f>Pivots!$E$252:$E$257</c:f>
              <c:numCache>
                <c:formatCode>0.00%</c:formatCode>
                <c:ptCount val="5"/>
                <c:pt idx="0">
                  <c:v>7.5046904315196998E-3</c:v>
                </c:pt>
                <c:pt idx="1">
                  <c:v>4.8622366288492711E-3</c:v>
                </c:pt>
                <c:pt idx="2">
                  <c:v>0</c:v>
                </c:pt>
                <c:pt idx="3">
                  <c:v>1.1037527593818985E-3</c:v>
                </c:pt>
                <c:pt idx="4">
                  <c:v>0</c:v>
                </c:pt>
              </c:numCache>
            </c:numRef>
          </c:val>
        </c:ser>
        <c:dLbls>
          <c:showLegendKey val="0"/>
          <c:showVal val="0"/>
          <c:showCatName val="0"/>
          <c:showSerName val="0"/>
          <c:showPercent val="0"/>
          <c:showBubbleSize val="0"/>
        </c:dLbls>
        <c:gapWidth val="50"/>
        <c:overlap val="100"/>
        <c:axId val="530059792"/>
        <c:axId val="530058616"/>
      </c:barChart>
      <c:catAx>
        <c:axId val="530059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58616"/>
        <c:crosses val="autoZero"/>
        <c:auto val="1"/>
        <c:lblAlgn val="ctr"/>
        <c:lblOffset val="100"/>
        <c:noMultiLvlLbl val="0"/>
      </c:catAx>
      <c:valAx>
        <c:axId val="5300586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59792"/>
        <c:crosses val="autoZero"/>
        <c:crossBetween val="between"/>
      </c:valAx>
      <c:spPr>
        <a:noFill/>
        <a:ln>
          <a:noFill/>
        </a:ln>
        <a:effectLst/>
      </c:spPr>
    </c:plotArea>
    <c:legend>
      <c:legendPos val="r"/>
      <c:layout>
        <c:manualLayout>
          <c:xMode val="edge"/>
          <c:yMode val="edge"/>
          <c:x val="0.80067379767027214"/>
          <c:y val="0.18023563118284089"/>
          <c:w val="0.19932620232972784"/>
          <c:h val="0.643628107562661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a:t>2010</a:t>
            </a:r>
            <a:r>
              <a:rPr lang="en-US" baseline="0"/>
              <a:t> Collection Frequency by Governorate</a:t>
            </a:r>
            <a:endParaRPr lang="en-US"/>
          </a:p>
        </c:rich>
      </c:tx>
      <c:layout>
        <c:manualLayout>
          <c:xMode val="edge"/>
          <c:yMode val="edge"/>
          <c:x val="0.11283932115642446"/>
          <c:y val="1.9111411978480063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021789008579982"/>
          <c:y val="0.19864156223581889"/>
          <c:w val="0.55515433752062937"/>
          <c:h val="0.65164006905553917"/>
        </c:manualLayout>
      </c:layout>
      <c:barChart>
        <c:barDir val="bar"/>
        <c:grouping val="percentStacked"/>
        <c:varyColors val="0"/>
        <c:ser>
          <c:idx val="0"/>
          <c:order val="0"/>
          <c:tx>
            <c:strRef>
              <c:f>SWM!$B$1</c:f>
              <c:strCache>
                <c:ptCount val="1"/>
                <c:pt idx="0">
                  <c:v>1 week</c:v>
                </c:pt>
              </c:strCache>
            </c:strRef>
          </c:tx>
          <c:spPr>
            <a:solidFill>
              <a:schemeClr val="accent5">
                <a:shade val="58000"/>
              </a:schemeClr>
            </a:solidFill>
            <a:ln>
              <a:noFill/>
            </a:ln>
            <a:effectLst/>
          </c:spPr>
          <c:invertIfNegative val="0"/>
          <c:cat>
            <c:strRef>
              <c:f>SWM!$A$2:$A$7</c:f>
              <c:strCache>
                <c:ptCount val="6"/>
                <c:pt idx="0">
                  <c:v>Average</c:v>
                </c:pt>
                <c:pt idx="1">
                  <c:v>Rafah</c:v>
                </c:pt>
                <c:pt idx="2">
                  <c:v>Khan Yunis</c:v>
                </c:pt>
                <c:pt idx="3">
                  <c:v>Deir al-Balah</c:v>
                </c:pt>
                <c:pt idx="4">
                  <c:v>Gaza</c:v>
                </c:pt>
                <c:pt idx="5">
                  <c:v>North Gaza</c:v>
                </c:pt>
              </c:strCache>
            </c:strRef>
          </c:cat>
          <c:val>
            <c:numRef>
              <c:f>SWM!$B$2:$B$7</c:f>
              <c:numCache>
                <c:formatCode>General</c:formatCode>
                <c:ptCount val="6"/>
                <c:pt idx="0">
                  <c:v>89.8</c:v>
                </c:pt>
                <c:pt idx="1">
                  <c:v>93.8</c:v>
                </c:pt>
                <c:pt idx="2">
                  <c:v>69.7</c:v>
                </c:pt>
                <c:pt idx="3">
                  <c:v>98.9</c:v>
                </c:pt>
                <c:pt idx="4">
                  <c:v>91.1</c:v>
                </c:pt>
                <c:pt idx="5">
                  <c:v>95.6</c:v>
                </c:pt>
              </c:numCache>
            </c:numRef>
          </c:val>
        </c:ser>
        <c:ser>
          <c:idx val="1"/>
          <c:order val="1"/>
          <c:tx>
            <c:strRef>
              <c:f>SWM!$C$1</c:f>
              <c:strCache>
                <c:ptCount val="1"/>
                <c:pt idx="0">
                  <c:v>2 weeks</c:v>
                </c:pt>
              </c:strCache>
            </c:strRef>
          </c:tx>
          <c:spPr>
            <a:solidFill>
              <a:schemeClr val="accent5">
                <a:shade val="86000"/>
              </a:schemeClr>
            </a:solidFill>
            <a:ln>
              <a:noFill/>
            </a:ln>
            <a:effectLst/>
          </c:spPr>
          <c:invertIfNegative val="0"/>
          <c:cat>
            <c:strRef>
              <c:f>SWM!$A$2:$A$7</c:f>
              <c:strCache>
                <c:ptCount val="6"/>
                <c:pt idx="0">
                  <c:v>Average</c:v>
                </c:pt>
                <c:pt idx="1">
                  <c:v>Rafah</c:v>
                </c:pt>
                <c:pt idx="2">
                  <c:v>Khan Yunis</c:v>
                </c:pt>
                <c:pt idx="3">
                  <c:v>Deir al-Balah</c:v>
                </c:pt>
                <c:pt idx="4">
                  <c:v>Gaza</c:v>
                </c:pt>
                <c:pt idx="5">
                  <c:v>North Gaza</c:v>
                </c:pt>
              </c:strCache>
            </c:strRef>
          </c:cat>
          <c:val>
            <c:numRef>
              <c:f>SWM!$C$2:$C$7</c:f>
              <c:numCache>
                <c:formatCode>General</c:formatCode>
                <c:ptCount val="6"/>
                <c:pt idx="0">
                  <c:v>1.6</c:v>
                </c:pt>
                <c:pt idx="1">
                  <c:v>2.5</c:v>
                </c:pt>
                <c:pt idx="2">
                  <c:v>2.2000000000000002</c:v>
                </c:pt>
                <c:pt idx="3">
                  <c:v>0.7</c:v>
                </c:pt>
                <c:pt idx="4">
                  <c:v>1.4</c:v>
                </c:pt>
                <c:pt idx="5">
                  <c:v>1.4</c:v>
                </c:pt>
              </c:numCache>
            </c:numRef>
          </c:val>
        </c:ser>
        <c:ser>
          <c:idx val="2"/>
          <c:order val="2"/>
          <c:tx>
            <c:strRef>
              <c:f>SWM!$D$1</c:f>
              <c:strCache>
                <c:ptCount val="1"/>
                <c:pt idx="0">
                  <c:v>1 month</c:v>
                </c:pt>
              </c:strCache>
            </c:strRef>
          </c:tx>
          <c:spPr>
            <a:solidFill>
              <a:schemeClr val="accent5">
                <a:tint val="86000"/>
              </a:schemeClr>
            </a:solidFill>
            <a:ln>
              <a:noFill/>
            </a:ln>
            <a:effectLst/>
          </c:spPr>
          <c:invertIfNegative val="0"/>
          <c:cat>
            <c:strRef>
              <c:f>SWM!$A$2:$A$7</c:f>
              <c:strCache>
                <c:ptCount val="6"/>
                <c:pt idx="0">
                  <c:v>Average</c:v>
                </c:pt>
                <c:pt idx="1">
                  <c:v>Rafah</c:v>
                </c:pt>
                <c:pt idx="2">
                  <c:v>Khan Yunis</c:v>
                </c:pt>
                <c:pt idx="3">
                  <c:v>Deir al-Balah</c:v>
                </c:pt>
                <c:pt idx="4">
                  <c:v>Gaza</c:v>
                </c:pt>
                <c:pt idx="5">
                  <c:v>North Gaza</c:v>
                </c:pt>
              </c:strCache>
            </c:strRef>
          </c:cat>
          <c:val>
            <c:numRef>
              <c:f>SWM!$D$2:$D$7</c:f>
              <c:numCache>
                <c:formatCode>General</c:formatCode>
                <c:ptCount val="6"/>
                <c:pt idx="0">
                  <c:v>0.8</c:v>
                </c:pt>
                <c:pt idx="1">
                  <c:v>0.1</c:v>
                </c:pt>
                <c:pt idx="2">
                  <c:v>2.1</c:v>
                </c:pt>
                <c:pt idx="3">
                  <c:v>0.2</c:v>
                </c:pt>
                <c:pt idx="4">
                  <c:v>1.4</c:v>
                </c:pt>
                <c:pt idx="5">
                  <c:v>0.1</c:v>
                </c:pt>
              </c:numCache>
            </c:numRef>
          </c:val>
        </c:ser>
        <c:ser>
          <c:idx val="3"/>
          <c:order val="3"/>
          <c:tx>
            <c:strRef>
              <c:f>SWM!$E$1</c:f>
              <c:strCache>
                <c:ptCount val="1"/>
                <c:pt idx="0">
                  <c:v>Burned</c:v>
                </c:pt>
              </c:strCache>
            </c:strRef>
          </c:tx>
          <c:spPr>
            <a:solidFill>
              <a:schemeClr val="accent5">
                <a:tint val="58000"/>
              </a:schemeClr>
            </a:solidFill>
            <a:ln>
              <a:noFill/>
            </a:ln>
            <a:effectLst/>
          </c:spPr>
          <c:invertIfNegative val="0"/>
          <c:cat>
            <c:strRef>
              <c:f>SWM!$A$2:$A$7</c:f>
              <c:strCache>
                <c:ptCount val="6"/>
                <c:pt idx="0">
                  <c:v>Average</c:v>
                </c:pt>
                <c:pt idx="1">
                  <c:v>Rafah</c:v>
                </c:pt>
                <c:pt idx="2">
                  <c:v>Khan Yunis</c:v>
                </c:pt>
                <c:pt idx="3">
                  <c:v>Deir al-Balah</c:v>
                </c:pt>
                <c:pt idx="4">
                  <c:v>Gaza</c:v>
                </c:pt>
                <c:pt idx="5">
                  <c:v>North Gaza</c:v>
                </c:pt>
              </c:strCache>
            </c:strRef>
          </c:cat>
          <c:val>
            <c:numRef>
              <c:f>SWM!$E$2:$E$7</c:f>
              <c:numCache>
                <c:formatCode>General</c:formatCode>
                <c:ptCount val="6"/>
                <c:pt idx="0">
                  <c:v>7.8</c:v>
                </c:pt>
                <c:pt idx="1">
                  <c:v>3.5</c:v>
                </c:pt>
                <c:pt idx="2">
                  <c:v>26</c:v>
                </c:pt>
                <c:pt idx="3">
                  <c:v>0.3</c:v>
                </c:pt>
                <c:pt idx="4">
                  <c:v>6.1</c:v>
                </c:pt>
                <c:pt idx="5">
                  <c:v>2.9</c:v>
                </c:pt>
              </c:numCache>
            </c:numRef>
          </c:val>
        </c:ser>
        <c:dLbls>
          <c:showLegendKey val="0"/>
          <c:showVal val="0"/>
          <c:showCatName val="0"/>
          <c:showSerName val="0"/>
          <c:showPercent val="0"/>
          <c:showBubbleSize val="0"/>
        </c:dLbls>
        <c:gapWidth val="50"/>
        <c:overlap val="100"/>
        <c:axId val="530054304"/>
        <c:axId val="530049992"/>
      </c:barChart>
      <c:catAx>
        <c:axId val="530054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49992"/>
        <c:crosses val="autoZero"/>
        <c:auto val="1"/>
        <c:lblAlgn val="ctr"/>
        <c:lblOffset val="100"/>
        <c:noMultiLvlLbl val="0"/>
      </c:catAx>
      <c:valAx>
        <c:axId val="5300499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54304"/>
        <c:crosses val="autoZero"/>
        <c:crossBetween val="between"/>
      </c:valAx>
      <c:spPr>
        <a:noFill/>
        <a:ln>
          <a:noFill/>
        </a:ln>
        <a:effectLst/>
      </c:spPr>
    </c:plotArea>
    <c:legend>
      <c:legendPos val="r"/>
      <c:layout>
        <c:manualLayout>
          <c:xMode val="edge"/>
          <c:yMode val="edge"/>
          <c:x val="0.81167261681751046"/>
          <c:y val="0.19243951972066839"/>
          <c:w val="0.18439501983211595"/>
          <c:h val="0.615766871505593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pivotSource>
    <c:name>[Gaza WASH Assessment_raw data_GVC_edited.xlsx]Pivots!PivotTable84</c:name>
    <c:fmtId val="-1"/>
  </c:pivotSource>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a:t>2015</a:t>
            </a:r>
            <a:r>
              <a:rPr lang="en-US" baseline="0"/>
              <a:t> Collection Frequency by Governorate</a:t>
            </a:r>
            <a:endParaRPr lang="en-US"/>
          </a:p>
        </c:rich>
      </c:tx>
      <c:layout>
        <c:manualLayout>
          <c:xMode val="edge"/>
          <c:yMode val="edge"/>
          <c:x val="0.11731651075447105"/>
          <c:y val="1.6842105263157894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5"/>
          </a:solidFill>
          <a:ln>
            <a:noFill/>
          </a:ln>
          <a:effectLst/>
        </c:spPr>
        <c:marker>
          <c:symbol val="none"/>
        </c:marker>
      </c:pivotFmt>
      <c:pivotFmt>
        <c:idx val="1"/>
        <c:spPr>
          <a:solidFill>
            <a:schemeClr val="accent5"/>
          </a:solidFill>
          <a:ln>
            <a:noFill/>
          </a:ln>
          <a:effectLst/>
        </c:spPr>
        <c:marker>
          <c:symbol val="none"/>
        </c:marker>
      </c:pivotFmt>
      <c:pivotFmt>
        <c:idx val="2"/>
        <c:spPr>
          <a:solidFill>
            <a:schemeClr val="accent5"/>
          </a:solidFill>
          <a:ln>
            <a:noFill/>
          </a:ln>
          <a:effectLst/>
        </c:spPr>
        <c:marker>
          <c:symbol val="none"/>
        </c:marker>
      </c:pivotFmt>
      <c:pivotFmt>
        <c:idx val="3"/>
        <c:spPr>
          <a:solidFill>
            <a:schemeClr val="accent5"/>
          </a:solidFill>
          <a:ln>
            <a:noFill/>
          </a:ln>
          <a:effectLst/>
        </c:spPr>
        <c:marker>
          <c:symbol val="none"/>
        </c:marker>
      </c:pivotFmt>
      <c:pivotFmt>
        <c:idx val="4"/>
        <c:spPr>
          <a:solidFill>
            <a:schemeClr val="accent5"/>
          </a:solidFill>
          <a:ln>
            <a:noFill/>
          </a:ln>
          <a:effectLst/>
        </c:spPr>
        <c:marker>
          <c:symbol val="none"/>
        </c:marker>
      </c:pivotFmt>
      <c:pivotFmt>
        <c:idx val="5"/>
        <c:spPr>
          <a:solidFill>
            <a:schemeClr val="accent5"/>
          </a:solidFill>
          <a:ln>
            <a:noFill/>
          </a:ln>
          <a:effectLst/>
        </c:spPr>
        <c:marker>
          <c:symbol val="none"/>
        </c:marker>
      </c:pivotFmt>
      <c:pivotFmt>
        <c:idx val="6"/>
        <c:spPr>
          <a:solidFill>
            <a:schemeClr val="accent5"/>
          </a:solidFill>
          <a:ln>
            <a:noFill/>
          </a:ln>
          <a:effectLst/>
        </c:spPr>
        <c:marker>
          <c:symbol val="none"/>
        </c:marker>
      </c:pivotFmt>
      <c:pivotFmt>
        <c:idx val="7"/>
        <c:spPr>
          <a:solidFill>
            <a:schemeClr val="accent5"/>
          </a:solidFill>
          <a:ln>
            <a:noFill/>
          </a:ln>
          <a:effectLst/>
        </c:spPr>
        <c:marker>
          <c:symbol val="none"/>
        </c:marker>
      </c:pivotFmt>
      <c:pivotFmt>
        <c:idx val="8"/>
        <c:spPr>
          <a:solidFill>
            <a:schemeClr val="accent5"/>
          </a:solidFill>
          <a:ln>
            <a:noFill/>
          </a:ln>
          <a:effectLst/>
        </c:spPr>
        <c:marker>
          <c:symbol val="none"/>
        </c:marker>
      </c:pivotFmt>
      <c:pivotFmt>
        <c:idx val="9"/>
        <c:spPr>
          <a:solidFill>
            <a:schemeClr val="accent5"/>
          </a:solidFill>
          <a:ln>
            <a:noFill/>
          </a:ln>
          <a:effectLst/>
        </c:spPr>
        <c:marker>
          <c:symbol val="none"/>
        </c:marker>
      </c:pivotFmt>
      <c:pivotFmt>
        <c:idx val="10"/>
        <c:spPr>
          <a:solidFill>
            <a:schemeClr val="accent5"/>
          </a:solidFill>
          <a:ln>
            <a:noFill/>
          </a:ln>
          <a:effectLst/>
        </c:spPr>
        <c:marker>
          <c:symbol val="none"/>
        </c:marker>
      </c:pivotFmt>
      <c:pivotFmt>
        <c:idx val="11"/>
        <c:spPr>
          <a:solidFill>
            <a:schemeClr val="accent5"/>
          </a:solidFill>
          <a:ln>
            <a:noFill/>
          </a:ln>
          <a:effectLst/>
        </c:spPr>
        <c:marker>
          <c:symbol val="none"/>
        </c:marker>
      </c:pivotFmt>
      <c:pivotFmt>
        <c:idx val="12"/>
        <c:spPr>
          <a:solidFill>
            <a:schemeClr val="accent5"/>
          </a:solidFill>
          <a:ln>
            <a:noFill/>
          </a:ln>
          <a:effectLst/>
        </c:spPr>
        <c:marker>
          <c:symbol val="none"/>
        </c:marker>
      </c:pivotFmt>
      <c:pivotFmt>
        <c:idx val="13"/>
        <c:spPr>
          <a:solidFill>
            <a:schemeClr val="accent5"/>
          </a:solidFill>
          <a:ln>
            <a:noFill/>
          </a:ln>
          <a:effectLst/>
        </c:spPr>
        <c:marker>
          <c:symbol val="none"/>
        </c:marker>
      </c:pivotFmt>
      <c:pivotFmt>
        <c:idx val="14"/>
        <c:spPr>
          <a:solidFill>
            <a:schemeClr val="accent5"/>
          </a:solidFill>
          <a:ln>
            <a:noFill/>
          </a:ln>
          <a:effectLst/>
        </c:spPr>
        <c:marker>
          <c:symbol val="none"/>
        </c:marker>
      </c:pivotFmt>
    </c:pivotFmts>
    <c:plotArea>
      <c:layout>
        <c:manualLayout>
          <c:layoutTarget val="inner"/>
          <c:xMode val="edge"/>
          <c:yMode val="edge"/>
          <c:x val="0.19912175032969068"/>
          <c:y val="0.20572631578947367"/>
          <c:w val="0.52703648576738882"/>
          <c:h val="0.63260406133443847"/>
        </c:manualLayout>
      </c:layout>
      <c:barChart>
        <c:barDir val="bar"/>
        <c:grouping val="percentStacked"/>
        <c:varyColors val="0"/>
        <c:ser>
          <c:idx val="0"/>
          <c:order val="0"/>
          <c:tx>
            <c:strRef>
              <c:f>Pivots!$B$237:$B$238</c:f>
              <c:strCache>
                <c:ptCount val="1"/>
                <c:pt idx="0">
                  <c:v>Daily</c:v>
                </c:pt>
              </c:strCache>
            </c:strRef>
          </c:tx>
          <c:spPr>
            <a:solidFill>
              <a:schemeClr val="accent5">
                <a:shade val="53000"/>
              </a:schemeClr>
            </a:solidFill>
            <a:ln>
              <a:noFill/>
            </a:ln>
            <a:effectLst/>
          </c:spPr>
          <c:invertIfNegative val="0"/>
          <c:cat>
            <c:strRef>
              <c:f>Pivots!$A$239:$A$244</c:f>
              <c:strCache>
                <c:ptCount val="5"/>
                <c:pt idx="0">
                  <c:v>Rafah</c:v>
                </c:pt>
                <c:pt idx="1">
                  <c:v>Khan Yunis</c:v>
                </c:pt>
                <c:pt idx="2">
                  <c:v>Middle</c:v>
                </c:pt>
                <c:pt idx="3">
                  <c:v>Gaza</c:v>
                </c:pt>
                <c:pt idx="4">
                  <c:v>North</c:v>
                </c:pt>
              </c:strCache>
            </c:strRef>
          </c:cat>
          <c:val>
            <c:numRef>
              <c:f>Pivots!$B$239:$B$244</c:f>
              <c:numCache>
                <c:formatCode>0.00%</c:formatCode>
                <c:ptCount val="5"/>
                <c:pt idx="0">
                  <c:v>0.85365853658536583</c:v>
                </c:pt>
                <c:pt idx="1">
                  <c:v>0.48239436619718312</c:v>
                </c:pt>
                <c:pt idx="2">
                  <c:v>0.71361502347417838</c:v>
                </c:pt>
                <c:pt idx="3">
                  <c:v>0.80139372822299648</c:v>
                </c:pt>
                <c:pt idx="4">
                  <c:v>0.60486322188449848</c:v>
                </c:pt>
              </c:numCache>
            </c:numRef>
          </c:val>
        </c:ser>
        <c:ser>
          <c:idx val="1"/>
          <c:order val="1"/>
          <c:tx>
            <c:strRef>
              <c:f>Pivots!$C$237:$C$238</c:f>
              <c:strCache>
                <c:ptCount val="1"/>
                <c:pt idx="0">
                  <c:v>3 / week</c:v>
                </c:pt>
              </c:strCache>
            </c:strRef>
          </c:tx>
          <c:spPr>
            <a:solidFill>
              <a:schemeClr val="accent5">
                <a:shade val="76000"/>
              </a:schemeClr>
            </a:solidFill>
            <a:ln>
              <a:noFill/>
            </a:ln>
            <a:effectLst/>
          </c:spPr>
          <c:invertIfNegative val="0"/>
          <c:cat>
            <c:strRef>
              <c:f>Pivots!$A$239:$A$244</c:f>
              <c:strCache>
                <c:ptCount val="5"/>
                <c:pt idx="0">
                  <c:v>Rafah</c:v>
                </c:pt>
                <c:pt idx="1">
                  <c:v>Khan Yunis</c:v>
                </c:pt>
                <c:pt idx="2">
                  <c:v>Middle</c:v>
                </c:pt>
                <c:pt idx="3">
                  <c:v>Gaza</c:v>
                </c:pt>
                <c:pt idx="4">
                  <c:v>North</c:v>
                </c:pt>
              </c:strCache>
            </c:strRef>
          </c:cat>
          <c:val>
            <c:numRef>
              <c:f>Pivots!$C$239:$C$244</c:f>
              <c:numCache>
                <c:formatCode>0.00%</c:formatCode>
                <c:ptCount val="5"/>
                <c:pt idx="0">
                  <c:v>0.14634146341463414</c:v>
                </c:pt>
                <c:pt idx="1">
                  <c:v>0.29577464788732394</c:v>
                </c:pt>
                <c:pt idx="2">
                  <c:v>0.107981220657277</c:v>
                </c:pt>
                <c:pt idx="3">
                  <c:v>0.1289198606271777</c:v>
                </c:pt>
                <c:pt idx="4">
                  <c:v>0.19148936170212766</c:v>
                </c:pt>
              </c:numCache>
            </c:numRef>
          </c:val>
        </c:ser>
        <c:ser>
          <c:idx val="2"/>
          <c:order val="2"/>
          <c:tx>
            <c:strRef>
              <c:f>Pivots!$D$237:$D$238</c:f>
              <c:strCache>
                <c:ptCount val="1"/>
                <c:pt idx="0">
                  <c:v>1 / week</c:v>
                </c:pt>
              </c:strCache>
            </c:strRef>
          </c:tx>
          <c:spPr>
            <a:solidFill>
              <a:schemeClr val="accent5"/>
            </a:solidFill>
            <a:ln>
              <a:noFill/>
            </a:ln>
            <a:effectLst/>
          </c:spPr>
          <c:invertIfNegative val="0"/>
          <c:cat>
            <c:strRef>
              <c:f>Pivots!$A$239:$A$244</c:f>
              <c:strCache>
                <c:ptCount val="5"/>
                <c:pt idx="0">
                  <c:v>Rafah</c:v>
                </c:pt>
                <c:pt idx="1">
                  <c:v>Khan Yunis</c:v>
                </c:pt>
                <c:pt idx="2">
                  <c:v>Middle</c:v>
                </c:pt>
                <c:pt idx="3">
                  <c:v>Gaza</c:v>
                </c:pt>
                <c:pt idx="4">
                  <c:v>North</c:v>
                </c:pt>
              </c:strCache>
            </c:strRef>
          </c:cat>
          <c:val>
            <c:numRef>
              <c:f>Pivots!$D$239:$D$244</c:f>
              <c:numCache>
                <c:formatCode>0.00%</c:formatCode>
                <c:ptCount val="5"/>
                <c:pt idx="0">
                  <c:v>0</c:v>
                </c:pt>
                <c:pt idx="1">
                  <c:v>0.10563380281690141</c:v>
                </c:pt>
                <c:pt idx="2">
                  <c:v>9.8591549295774641E-2</c:v>
                </c:pt>
                <c:pt idx="3">
                  <c:v>5.2264808362369339E-2</c:v>
                </c:pt>
                <c:pt idx="4">
                  <c:v>8.8145896656534953E-2</c:v>
                </c:pt>
              </c:numCache>
            </c:numRef>
          </c:val>
        </c:ser>
        <c:ser>
          <c:idx val="3"/>
          <c:order val="3"/>
          <c:tx>
            <c:strRef>
              <c:f>Pivots!$E$237:$E$238</c:f>
              <c:strCache>
                <c:ptCount val="1"/>
                <c:pt idx="0">
                  <c:v>1 / 2 weeks</c:v>
                </c:pt>
              </c:strCache>
            </c:strRef>
          </c:tx>
          <c:spPr>
            <a:solidFill>
              <a:schemeClr val="accent5">
                <a:tint val="77000"/>
              </a:schemeClr>
            </a:solidFill>
            <a:ln>
              <a:noFill/>
            </a:ln>
            <a:effectLst/>
          </c:spPr>
          <c:invertIfNegative val="0"/>
          <c:cat>
            <c:strRef>
              <c:f>Pivots!$A$239:$A$244</c:f>
              <c:strCache>
                <c:ptCount val="5"/>
                <c:pt idx="0">
                  <c:v>Rafah</c:v>
                </c:pt>
                <c:pt idx="1">
                  <c:v>Khan Yunis</c:v>
                </c:pt>
                <c:pt idx="2">
                  <c:v>Middle</c:v>
                </c:pt>
                <c:pt idx="3">
                  <c:v>Gaza</c:v>
                </c:pt>
                <c:pt idx="4">
                  <c:v>North</c:v>
                </c:pt>
              </c:strCache>
            </c:strRef>
          </c:cat>
          <c:val>
            <c:numRef>
              <c:f>Pivots!$E$239:$E$244</c:f>
              <c:numCache>
                <c:formatCode>0.00%</c:formatCode>
                <c:ptCount val="5"/>
                <c:pt idx="0">
                  <c:v>0</c:v>
                </c:pt>
                <c:pt idx="1">
                  <c:v>4.2253521126760563E-2</c:v>
                </c:pt>
                <c:pt idx="2">
                  <c:v>1.4084507042253521E-2</c:v>
                </c:pt>
                <c:pt idx="3">
                  <c:v>6.9686411149825784E-3</c:v>
                </c:pt>
                <c:pt idx="4">
                  <c:v>4.8632218844984802E-2</c:v>
                </c:pt>
              </c:numCache>
            </c:numRef>
          </c:val>
        </c:ser>
        <c:ser>
          <c:idx val="4"/>
          <c:order val="4"/>
          <c:tx>
            <c:strRef>
              <c:f>Pivots!$F$237:$F$238</c:f>
              <c:strCache>
                <c:ptCount val="1"/>
                <c:pt idx="0">
                  <c:v>Irregular</c:v>
                </c:pt>
              </c:strCache>
            </c:strRef>
          </c:tx>
          <c:spPr>
            <a:solidFill>
              <a:schemeClr val="accent5">
                <a:tint val="54000"/>
              </a:schemeClr>
            </a:solidFill>
            <a:ln>
              <a:noFill/>
            </a:ln>
            <a:effectLst/>
          </c:spPr>
          <c:invertIfNegative val="0"/>
          <c:cat>
            <c:strRef>
              <c:f>Pivots!$A$239:$A$244</c:f>
              <c:strCache>
                <c:ptCount val="5"/>
                <c:pt idx="0">
                  <c:v>Rafah</c:v>
                </c:pt>
                <c:pt idx="1">
                  <c:v>Khan Yunis</c:v>
                </c:pt>
                <c:pt idx="2">
                  <c:v>Middle</c:v>
                </c:pt>
                <c:pt idx="3">
                  <c:v>Gaza</c:v>
                </c:pt>
                <c:pt idx="4">
                  <c:v>North</c:v>
                </c:pt>
              </c:strCache>
            </c:strRef>
          </c:cat>
          <c:val>
            <c:numRef>
              <c:f>Pivots!$F$239:$F$244</c:f>
              <c:numCache>
                <c:formatCode>0.00%</c:formatCode>
                <c:ptCount val="5"/>
                <c:pt idx="0">
                  <c:v>0</c:v>
                </c:pt>
                <c:pt idx="1">
                  <c:v>7.3943661971830985E-2</c:v>
                </c:pt>
                <c:pt idx="2">
                  <c:v>6.5727699530516437E-2</c:v>
                </c:pt>
                <c:pt idx="3">
                  <c:v>1.0452961672473868E-2</c:v>
                </c:pt>
                <c:pt idx="4">
                  <c:v>6.6869300911854099E-2</c:v>
                </c:pt>
              </c:numCache>
            </c:numRef>
          </c:val>
        </c:ser>
        <c:dLbls>
          <c:showLegendKey val="0"/>
          <c:showVal val="0"/>
          <c:showCatName val="0"/>
          <c:showSerName val="0"/>
          <c:showPercent val="0"/>
          <c:showBubbleSize val="0"/>
        </c:dLbls>
        <c:gapWidth val="50"/>
        <c:overlap val="100"/>
        <c:axId val="530050384"/>
        <c:axId val="530053520"/>
      </c:barChart>
      <c:catAx>
        <c:axId val="530050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53520"/>
        <c:crosses val="autoZero"/>
        <c:auto val="1"/>
        <c:lblAlgn val="ctr"/>
        <c:lblOffset val="100"/>
        <c:noMultiLvlLbl val="0"/>
      </c:catAx>
      <c:valAx>
        <c:axId val="5300535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50384"/>
        <c:crosses val="autoZero"/>
        <c:crossBetween val="between"/>
      </c:valAx>
      <c:spPr>
        <a:noFill/>
        <a:ln>
          <a:noFill/>
        </a:ln>
        <a:effectLst/>
      </c:spPr>
    </c:plotArea>
    <c:legend>
      <c:legendPos val="r"/>
      <c:layout>
        <c:manualLayout>
          <c:xMode val="edge"/>
          <c:yMode val="edge"/>
          <c:x val="0.77542844362867958"/>
          <c:y val="0.10105263157894737"/>
          <c:w val="0.22065382865339675"/>
          <c:h val="0.82315789473684209"/>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pivotSource>
    <c:name>[Gaza WASH Assessment_raw data_GVC_edited.xlsx]Pivots!PivotTable93</c:name>
    <c:fmtId val="-1"/>
  </c:pivotSource>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HH Solid Waste Disposal by Area Type</a:t>
            </a:r>
          </a:p>
        </c:rich>
      </c:tx>
      <c:layout>
        <c:manualLayout>
          <c:xMode val="edge"/>
          <c:yMode val="edge"/>
          <c:x val="0.1358704137392662"/>
          <c:y val="1.651527663088356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5"/>
          </a:solidFill>
          <a:ln>
            <a:noFill/>
          </a:ln>
          <a:effectLst/>
        </c:spPr>
        <c:marker>
          <c:symbol val="none"/>
        </c:marker>
      </c:pivotFmt>
      <c:pivotFmt>
        <c:idx val="1"/>
        <c:spPr>
          <a:solidFill>
            <a:schemeClr val="accent5"/>
          </a:solidFill>
          <a:ln>
            <a:noFill/>
          </a:ln>
          <a:effectLst/>
        </c:spPr>
        <c:marker>
          <c:symbol val="none"/>
        </c:marker>
      </c:pivotFmt>
      <c:pivotFmt>
        <c:idx val="2"/>
        <c:spPr>
          <a:solidFill>
            <a:schemeClr val="accent5"/>
          </a:solidFill>
          <a:ln>
            <a:noFill/>
          </a:ln>
          <a:effectLst/>
        </c:spPr>
        <c:marker>
          <c:symbol val="none"/>
        </c:marker>
      </c:pivotFmt>
      <c:pivotFmt>
        <c:idx val="3"/>
        <c:spPr>
          <a:solidFill>
            <a:schemeClr val="accent5"/>
          </a:solidFill>
          <a:ln>
            <a:noFill/>
          </a:ln>
          <a:effectLst/>
        </c:spPr>
        <c:marker>
          <c:symbol val="none"/>
        </c:marker>
      </c:pivotFmt>
      <c:pivotFmt>
        <c:idx val="4"/>
        <c:spPr>
          <a:solidFill>
            <a:schemeClr val="accent5"/>
          </a:solidFill>
          <a:ln>
            <a:noFill/>
          </a:ln>
          <a:effectLst/>
        </c:spPr>
        <c:marker>
          <c:symbol val="none"/>
        </c:marker>
      </c:pivotFmt>
      <c:pivotFmt>
        <c:idx val="5"/>
        <c:spPr>
          <a:solidFill>
            <a:schemeClr val="accent5"/>
          </a:solidFill>
          <a:ln>
            <a:noFill/>
          </a:ln>
          <a:effectLst/>
        </c:spPr>
        <c:marker>
          <c:symbol val="none"/>
        </c:marker>
      </c:pivotFmt>
      <c:pivotFmt>
        <c:idx val="6"/>
        <c:spPr>
          <a:solidFill>
            <a:schemeClr val="accent5"/>
          </a:solidFill>
          <a:ln>
            <a:noFill/>
          </a:ln>
          <a:effectLst/>
        </c:spPr>
        <c:marker>
          <c:symbol val="none"/>
        </c:marker>
      </c:pivotFmt>
      <c:pivotFmt>
        <c:idx val="7"/>
        <c:spPr>
          <a:solidFill>
            <a:schemeClr val="accent5"/>
          </a:solidFill>
          <a:ln>
            <a:noFill/>
          </a:ln>
          <a:effectLst/>
        </c:spPr>
        <c:marker>
          <c:symbol val="none"/>
        </c:marker>
      </c:pivotFmt>
      <c:pivotFmt>
        <c:idx val="8"/>
        <c:spPr>
          <a:solidFill>
            <a:schemeClr val="accent5"/>
          </a:solidFill>
          <a:ln>
            <a:noFill/>
          </a:ln>
          <a:effectLst/>
        </c:spPr>
        <c:marker>
          <c:symbol val="none"/>
        </c:marker>
      </c:pivotFmt>
      <c:pivotFmt>
        <c:idx val="9"/>
        <c:spPr>
          <a:solidFill>
            <a:schemeClr val="accent5"/>
          </a:solidFill>
          <a:ln>
            <a:noFill/>
          </a:ln>
          <a:effectLst/>
        </c:spPr>
        <c:marker>
          <c:symbol val="none"/>
        </c:marker>
      </c:pivotFmt>
      <c:pivotFmt>
        <c:idx val="10"/>
        <c:spPr>
          <a:solidFill>
            <a:schemeClr val="accent5"/>
          </a:solidFill>
          <a:ln>
            <a:noFill/>
          </a:ln>
          <a:effectLst/>
        </c:spPr>
        <c:marker>
          <c:symbol val="none"/>
        </c:marker>
      </c:pivotFmt>
      <c:pivotFmt>
        <c:idx val="11"/>
        <c:spPr>
          <a:solidFill>
            <a:schemeClr val="accent5"/>
          </a:solidFill>
          <a:ln>
            <a:noFill/>
          </a:ln>
          <a:effectLst/>
        </c:spPr>
        <c:marker>
          <c:symbol val="none"/>
        </c:marker>
      </c:pivotFmt>
    </c:pivotFmts>
    <c:plotArea>
      <c:layout>
        <c:manualLayout>
          <c:layoutTarget val="inner"/>
          <c:xMode val="edge"/>
          <c:yMode val="edge"/>
          <c:x val="0.14088468671145837"/>
          <c:y val="0.20173410404624278"/>
          <c:w val="0.57658817238009175"/>
          <c:h val="0.64799118318302695"/>
        </c:manualLayout>
      </c:layout>
      <c:barChart>
        <c:barDir val="bar"/>
        <c:grouping val="percentStacked"/>
        <c:varyColors val="0"/>
        <c:ser>
          <c:idx val="0"/>
          <c:order val="0"/>
          <c:tx>
            <c:strRef>
              <c:f>Pivots!$BG$250:$BG$251</c:f>
              <c:strCache>
                <c:ptCount val="1"/>
                <c:pt idx="0">
                  <c:v>Empty space</c:v>
                </c:pt>
              </c:strCache>
            </c:strRef>
          </c:tx>
          <c:spPr>
            <a:solidFill>
              <a:schemeClr val="accent6">
                <a:lumMod val="75000"/>
              </a:schemeClr>
            </a:solidFill>
            <a:ln>
              <a:noFill/>
            </a:ln>
            <a:effectLst/>
          </c:spPr>
          <c:invertIfNegative val="0"/>
          <c:cat>
            <c:strRef>
              <c:f>Pivots!$BF$252:$BF$255</c:f>
              <c:strCache>
                <c:ptCount val="3"/>
                <c:pt idx="0">
                  <c:v>rural</c:v>
                </c:pt>
                <c:pt idx="1">
                  <c:v>camp</c:v>
                </c:pt>
                <c:pt idx="2">
                  <c:v>urban</c:v>
                </c:pt>
              </c:strCache>
            </c:strRef>
          </c:cat>
          <c:val>
            <c:numRef>
              <c:f>Pivots!$BG$252:$BG$255</c:f>
              <c:numCache>
                <c:formatCode>0.00%</c:formatCode>
                <c:ptCount val="3"/>
                <c:pt idx="0">
                  <c:v>0.72839506172839508</c:v>
                </c:pt>
                <c:pt idx="1">
                  <c:v>0.49519230769230771</c:v>
                </c:pt>
                <c:pt idx="2">
                  <c:v>0.62798315395414128</c:v>
                </c:pt>
              </c:numCache>
            </c:numRef>
          </c:val>
        </c:ser>
        <c:ser>
          <c:idx val="1"/>
          <c:order val="1"/>
          <c:tx>
            <c:strRef>
              <c:f>Pivots!$BH$250:$BH$251</c:f>
              <c:strCache>
                <c:ptCount val="1"/>
                <c:pt idx="0">
                  <c:v>Container</c:v>
                </c:pt>
              </c:strCache>
            </c:strRef>
          </c:tx>
          <c:spPr>
            <a:solidFill>
              <a:schemeClr val="accent5">
                <a:shade val="86000"/>
              </a:schemeClr>
            </a:solidFill>
            <a:ln>
              <a:noFill/>
            </a:ln>
            <a:effectLst/>
          </c:spPr>
          <c:invertIfNegative val="0"/>
          <c:cat>
            <c:strRef>
              <c:f>Pivots!$BF$252:$BF$255</c:f>
              <c:strCache>
                <c:ptCount val="3"/>
                <c:pt idx="0">
                  <c:v>rural</c:v>
                </c:pt>
                <c:pt idx="1">
                  <c:v>camp</c:v>
                </c:pt>
                <c:pt idx="2">
                  <c:v>urban</c:v>
                </c:pt>
              </c:strCache>
            </c:strRef>
          </c:cat>
          <c:val>
            <c:numRef>
              <c:f>Pivots!$BH$252:$BH$255</c:f>
              <c:numCache>
                <c:formatCode>0.00%</c:formatCode>
                <c:ptCount val="3"/>
                <c:pt idx="0">
                  <c:v>0.24691358024691357</c:v>
                </c:pt>
                <c:pt idx="1">
                  <c:v>0.50320512820512819</c:v>
                </c:pt>
                <c:pt idx="2">
                  <c:v>0.35049134300421153</c:v>
                </c:pt>
              </c:numCache>
            </c:numRef>
          </c:val>
        </c:ser>
        <c:ser>
          <c:idx val="2"/>
          <c:order val="2"/>
          <c:tx>
            <c:strRef>
              <c:f>Pivots!$BI$250:$BI$251</c:f>
              <c:strCache>
                <c:ptCount val="1"/>
                <c:pt idx="0">
                  <c:v>Burn</c:v>
                </c:pt>
              </c:strCache>
            </c:strRef>
          </c:tx>
          <c:spPr>
            <a:solidFill>
              <a:schemeClr val="accent5">
                <a:tint val="86000"/>
              </a:schemeClr>
            </a:solidFill>
            <a:ln>
              <a:noFill/>
            </a:ln>
            <a:effectLst/>
          </c:spPr>
          <c:invertIfNegative val="0"/>
          <c:cat>
            <c:strRef>
              <c:f>Pivots!$BF$252:$BF$255</c:f>
              <c:strCache>
                <c:ptCount val="3"/>
                <c:pt idx="0">
                  <c:v>rural</c:v>
                </c:pt>
                <c:pt idx="1">
                  <c:v>camp</c:v>
                </c:pt>
                <c:pt idx="2">
                  <c:v>urban</c:v>
                </c:pt>
              </c:strCache>
            </c:strRef>
          </c:cat>
          <c:val>
            <c:numRef>
              <c:f>Pivots!$BI$252:$BI$255</c:f>
              <c:numCache>
                <c:formatCode>0.00%</c:formatCode>
                <c:ptCount val="3"/>
                <c:pt idx="0">
                  <c:v>2.4691358024691357E-2</c:v>
                </c:pt>
                <c:pt idx="1">
                  <c:v>0</c:v>
                </c:pt>
                <c:pt idx="2">
                  <c:v>1.8249883013570427E-2</c:v>
                </c:pt>
              </c:numCache>
            </c:numRef>
          </c:val>
        </c:ser>
        <c:ser>
          <c:idx val="3"/>
          <c:order val="3"/>
          <c:tx>
            <c:strRef>
              <c:f>Pivots!$BJ$250:$BJ$251</c:f>
              <c:strCache>
                <c:ptCount val="1"/>
                <c:pt idx="0">
                  <c:v>Bury</c:v>
                </c:pt>
              </c:strCache>
            </c:strRef>
          </c:tx>
          <c:spPr>
            <a:solidFill>
              <a:schemeClr val="accent5">
                <a:tint val="58000"/>
              </a:schemeClr>
            </a:solidFill>
            <a:ln>
              <a:noFill/>
            </a:ln>
            <a:effectLst/>
          </c:spPr>
          <c:invertIfNegative val="0"/>
          <c:cat>
            <c:strRef>
              <c:f>Pivots!$BF$252:$BF$255</c:f>
              <c:strCache>
                <c:ptCount val="3"/>
                <c:pt idx="0">
                  <c:v>rural</c:v>
                </c:pt>
                <c:pt idx="1">
                  <c:v>camp</c:v>
                </c:pt>
                <c:pt idx="2">
                  <c:v>urban</c:v>
                </c:pt>
              </c:strCache>
            </c:strRef>
          </c:cat>
          <c:val>
            <c:numRef>
              <c:f>Pivots!$BJ$252:$BJ$255</c:f>
              <c:numCache>
                <c:formatCode>0.00%</c:formatCode>
                <c:ptCount val="3"/>
                <c:pt idx="0">
                  <c:v>0</c:v>
                </c:pt>
                <c:pt idx="1">
                  <c:v>1.6025641025641025E-3</c:v>
                </c:pt>
                <c:pt idx="2">
                  <c:v>3.2756200280767431E-3</c:v>
                </c:pt>
              </c:numCache>
            </c:numRef>
          </c:val>
        </c:ser>
        <c:dLbls>
          <c:showLegendKey val="0"/>
          <c:showVal val="0"/>
          <c:showCatName val="0"/>
          <c:showSerName val="0"/>
          <c:showPercent val="0"/>
          <c:showBubbleSize val="0"/>
        </c:dLbls>
        <c:gapWidth val="50"/>
        <c:overlap val="100"/>
        <c:axId val="530049208"/>
        <c:axId val="530046856"/>
      </c:barChart>
      <c:catAx>
        <c:axId val="530049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46856"/>
        <c:crosses val="autoZero"/>
        <c:auto val="1"/>
        <c:lblAlgn val="ctr"/>
        <c:lblOffset val="100"/>
        <c:noMultiLvlLbl val="0"/>
      </c:catAx>
      <c:valAx>
        <c:axId val="5300468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49208"/>
        <c:crosses val="autoZero"/>
        <c:crossBetween val="between"/>
      </c:valAx>
      <c:spPr>
        <a:noFill/>
        <a:ln>
          <a:noFill/>
        </a:ln>
        <a:effectLst/>
      </c:spPr>
    </c:plotArea>
    <c:legend>
      <c:legendPos val="r"/>
      <c:layout>
        <c:manualLayout>
          <c:xMode val="edge"/>
          <c:yMode val="edge"/>
          <c:x val="0.75995470160824496"/>
          <c:y val="0.25610837662633207"/>
          <c:w val="0.24004529839175509"/>
          <c:h val="0.557394487538768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pivotSource>
    <c:name>[Gaza WASH Assessment_raw data_GVC_edited.xlsx]Pivots!PivotTable88</c:name>
    <c:fmtId val="-1"/>
  </c:pivotSource>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Collection Frequency by Area Type</a:t>
            </a:r>
          </a:p>
        </c:rich>
      </c:tx>
      <c:layout>
        <c:manualLayout>
          <c:xMode val="edge"/>
          <c:yMode val="edge"/>
          <c:x val="0.14465116279069765"/>
          <c:y val="1.651527663088356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5"/>
          </a:solidFill>
          <a:ln>
            <a:noFill/>
          </a:ln>
          <a:effectLst/>
        </c:spPr>
        <c:marker>
          <c:symbol val="none"/>
        </c:marker>
      </c:pivotFmt>
      <c:pivotFmt>
        <c:idx val="1"/>
        <c:spPr>
          <a:solidFill>
            <a:schemeClr val="accent5"/>
          </a:solidFill>
          <a:ln>
            <a:noFill/>
          </a:ln>
          <a:effectLst/>
        </c:spPr>
        <c:marker>
          <c:symbol val="none"/>
        </c:marker>
      </c:pivotFmt>
      <c:pivotFmt>
        <c:idx val="2"/>
        <c:spPr>
          <a:solidFill>
            <a:schemeClr val="accent5"/>
          </a:solidFill>
          <a:ln>
            <a:noFill/>
          </a:ln>
          <a:effectLst/>
        </c:spPr>
        <c:marker>
          <c:symbol val="none"/>
        </c:marker>
      </c:pivotFmt>
      <c:pivotFmt>
        <c:idx val="3"/>
        <c:spPr>
          <a:solidFill>
            <a:schemeClr val="accent5"/>
          </a:solidFill>
          <a:ln>
            <a:noFill/>
          </a:ln>
          <a:effectLst/>
        </c:spPr>
        <c:marker>
          <c:symbol val="none"/>
        </c:marker>
      </c:pivotFmt>
      <c:pivotFmt>
        <c:idx val="4"/>
        <c:spPr>
          <a:solidFill>
            <a:schemeClr val="accent5"/>
          </a:solidFill>
          <a:ln>
            <a:noFill/>
          </a:ln>
          <a:effectLst/>
        </c:spPr>
        <c:marker>
          <c:symbol val="none"/>
        </c:marker>
      </c:pivotFmt>
      <c:pivotFmt>
        <c:idx val="5"/>
        <c:spPr>
          <a:solidFill>
            <a:schemeClr val="accent5"/>
          </a:solidFill>
          <a:ln>
            <a:noFill/>
          </a:ln>
          <a:effectLst/>
        </c:spPr>
        <c:marker>
          <c:symbol val="none"/>
        </c:marker>
      </c:pivotFmt>
      <c:pivotFmt>
        <c:idx val="6"/>
        <c:spPr>
          <a:solidFill>
            <a:schemeClr val="accent5"/>
          </a:solidFill>
          <a:ln>
            <a:noFill/>
          </a:ln>
          <a:effectLst/>
        </c:spPr>
        <c:marker>
          <c:symbol val="none"/>
        </c:marker>
      </c:pivotFmt>
      <c:pivotFmt>
        <c:idx val="7"/>
        <c:spPr>
          <a:solidFill>
            <a:schemeClr val="accent5"/>
          </a:solidFill>
          <a:ln>
            <a:noFill/>
          </a:ln>
          <a:effectLst/>
        </c:spPr>
        <c:marker>
          <c:symbol val="none"/>
        </c:marker>
      </c:pivotFmt>
      <c:pivotFmt>
        <c:idx val="8"/>
        <c:spPr>
          <a:solidFill>
            <a:schemeClr val="accent5"/>
          </a:solidFill>
          <a:ln>
            <a:noFill/>
          </a:ln>
          <a:effectLst/>
        </c:spPr>
        <c:marker>
          <c:symbol val="none"/>
        </c:marker>
      </c:pivotFmt>
      <c:pivotFmt>
        <c:idx val="9"/>
        <c:spPr>
          <a:solidFill>
            <a:schemeClr val="accent5"/>
          </a:solidFill>
          <a:ln>
            <a:noFill/>
          </a:ln>
          <a:effectLst/>
        </c:spPr>
        <c:marker>
          <c:symbol val="none"/>
        </c:marker>
      </c:pivotFmt>
      <c:pivotFmt>
        <c:idx val="10"/>
        <c:spPr>
          <a:solidFill>
            <a:schemeClr val="accent5"/>
          </a:solidFill>
          <a:ln>
            <a:noFill/>
          </a:ln>
          <a:effectLst/>
        </c:spPr>
        <c:marker>
          <c:symbol val="none"/>
        </c:marker>
      </c:pivotFmt>
      <c:pivotFmt>
        <c:idx val="11"/>
        <c:spPr>
          <a:solidFill>
            <a:schemeClr val="accent5"/>
          </a:solidFill>
          <a:ln>
            <a:noFill/>
          </a:ln>
          <a:effectLst/>
        </c:spPr>
        <c:marker>
          <c:symbol val="none"/>
        </c:marker>
      </c:pivotFmt>
      <c:pivotFmt>
        <c:idx val="12"/>
        <c:spPr>
          <a:solidFill>
            <a:schemeClr val="accent5"/>
          </a:solidFill>
          <a:ln>
            <a:noFill/>
          </a:ln>
          <a:effectLst/>
        </c:spPr>
        <c:marker>
          <c:symbol val="none"/>
        </c:marker>
      </c:pivotFmt>
      <c:pivotFmt>
        <c:idx val="13"/>
        <c:spPr>
          <a:solidFill>
            <a:schemeClr val="accent5"/>
          </a:solidFill>
          <a:ln>
            <a:noFill/>
          </a:ln>
          <a:effectLst/>
        </c:spPr>
        <c:marker>
          <c:symbol val="none"/>
        </c:marker>
      </c:pivotFmt>
      <c:pivotFmt>
        <c:idx val="14"/>
        <c:spPr>
          <a:solidFill>
            <a:schemeClr val="accent5"/>
          </a:solidFill>
          <a:ln>
            <a:noFill/>
          </a:ln>
          <a:effectLst/>
        </c:spPr>
        <c:marker>
          <c:symbol val="none"/>
        </c:marker>
      </c:pivotFmt>
    </c:pivotFmts>
    <c:plotArea>
      <c:layout>
        <c:manualLayout>
          <c:layoutTarget val="inner"/>
          <c:xMode val="edge"/>
          <c:yMode val="edge"/>
          <c:x val="0.1398855045361998"/>
          <c:y val="0.20999174236168455"/>
          <c:w val="0.58944149423182557"/>
          <c:h val="0.63973354486758516"/>
        </c:manualLayout>
      </c:layout>
      <c:barChart>
        <c:barDir val="bar"/>
        <c:grouping val="percentStacked"/>
        <c:varyColors val="0"/>
        <c:ser>
          <c:idx val="0"/>
          <c:order val="0"/>
          <c:tx>
            <c:strRef>
              <c:f>Pivots!$BG$237:$BG$238</c:f>
              <c:strCache>
                <c:ptCount val="1"/>
                <c:pt idx="0">
                  <c:v>Daily</c:v>
                </c:pt>
              </c:strCache>
            </c:strRef>
          </c:tx>
          <c:spPr>
            <a:solidFill>
              <a:schemeClr val="accent5">
                <a:shade val="53000"/>
              </a:schemeClr>
            </a:solidFill>
            <a:ln>
              <a:noFill/>
            </a:ln>
            <a:effectLst/>
          </c:spPr>
          <c:invertIfNegative val="0"/>
          <c:cat>
            <c:strRef>
              <c:f>Pivots!$BF$239:$BF$242</c:f>
              <c:strCache>
                <c:ptCount val="3"/>
                <c:pt idx="0">
                  <c:v>rural</c:v>
                </c:pt>
                <c:pt idx="1">
                  <c:v>camp</c:v>
                </c:pt>
                <c:pt idx="2">
                  <c:v>urban</c:v>
                </c:pt>
              </c:strCache>
            </c:strRef>
          </c:cat>
          <c:val>
            <c:numRef>
              <c:f>Pivots!$BG$239:$BG$242</c:f>
              <c:numCache>
                <c:formatCode>0.00%</c:formatCode>
                <c:ptCount val="3"/>
                <c:pt idx="0">
                  <c:v>0.32</c:v>
                </c:pt>
                <c:pt idx="1">
                  <c:v>0.82165605095541405</c:v>
                </c:pt>
                <c:pt idx="2">
                  <c:v>0.62567567567567572</c:v>
                </c:pt>
              </c:numCache>
            </c:numRef>
          </c:val>
        </c:ser>
        <c:ser>
          <c:idx val="1"/>
          <c:order val="1"/>
          <c:tx>
            <c:strRef>
              <c:f>Pivots!$BH$237:$BH$238</c:f>
              <c:strCache>
                <c:ptCount val="1"/>
                <c:pt idx="0">
                  <c:v>3 / week</c:v>
                </c:pt>
              </c:strCache>
            </c:strRef>
          </c:tx>
          <c:spPr>
            <a:solidFill>
              <a:schemeClr val="accent5">
                <a:shade val="76000"/>
              </a:schemeClr>
            </a:solidFill>
            <a:ln>
              <a:noFill/>
            </a:ln>
            <a:effectLst/>
          </c:spPr>
          <c:invertIfNegative val="0"/>
          <c:cat>
            <c:strRef>
              <c:f>Pivots!$BF$239:$BF$242</c:f>
              <c:strCache>
                <c:ptCount val="3"/>
                <c:pt idx="0">
                  <c:v>rural</c:v>
                </c:pt>
                <c:pt idx="1">
                  <c:v>camp</c:v>
                </c:pt>
                <c:pt idx="2">
                  <c:v>urban</c:v>
                </c:pt>
              </c:strCache>
            </c:strRef>
          </c:cat>
          <c:val>
            <c:numRef>
              <c:f>Pivots!$BH$239:$BH$242</c:f>
              <c:numCache>
                <c:formatCode>0.00%</c:formatCode>
                <c:ptCount val="3"/>
                <c:pt idx="0">
                  <c:v>0.41</c:v>
                </c:pt>
                <c:pt idx="1">
                  <c:v>0.11146496815286625</c:v>
                </c:pt>
                <c:pt idx="2">
                  <c:v>0.18513513513513513</c:v>
                </c:pt>
              </c:numCache>
            </c:numRef>
          </c:val>
        </c:ser>
        <c:ser>
          <c:idx val="2"/>
          <c:order val="2"/>
          <c:tx>
            <c:strRef>
              <c:f>Pivots!$BI$237:$BI$238</c:f>
              <c:strCache>
                <c:ptCount val="1"/>
                <c:pt idx="0">
                  <c:v>1 / week</c:v>
                </c:pt>
              </c:strCache>
            </c:strRef>
          </c:tx>
          <c:spPr>
            <a:solidFill>
              <a:schemeClr val="accent5"/>
            </a:solidFill>
            <a:ln>
              <a:noFill/>
            </a:ln>
            <a:effectLst/>
          </c:spPr>
          <c:invertIfNegative val="0"/>
          <c:cat>
            <c:strRef>
              <c:f>Pivots!$BF$239:$BF$242</c:f>
              <c:strCache>
                <c:ptCount val="3"/>
                <c:pt idx="0">
                  <c:v>rural</c:v>
                </c:pt>
                <c:pt idx="1">
                  <c:v>camp</c:v>
                </c:pt>
                <c:pt idx="2">
                  <c:v>urban</c:v>
                </c:pt>
              </c:strCache>
            </c:strRef>
          </c:cat>
          <c:val>
            <c:numRef>
              <c:f>Pivots!$BI$239:$BI$242</c:f>
              <c:numCache>
                <c:formatCode>0.00%</c:formatCode>
                <c:ptCount val="3"/>
                <c:pt idx="0">
                  <c:v>0.16</c:v>
                </c:pt>
                <c:pt idx="1">
                  <c:v>1.9108280254777069E-2</c:v>
                </c:pt>
                <c:pt idx="2">
                  <c:v>9.8648648648648654E-2</c:v>
                </c:pt>
              </c:numCache>
            </c:numRef>
          </c:val>
        </c:ser>
        <c:ser>
          <c:idx val="3"/>
          <c:order val="3"/>
          <c:tx>
            <c:strRef>
              <c:f>Pivots!$BJ$237:$BJ$238</c:f>
              <c:strCache>
                <c:ptCount val="1"/>
                <c:pt idx="0">
                  <c:v>1 / 2 weeks</c:v>
                </c:pt>
              </c:strCache>
            </c:strRef>
          </c:tx>
          <c:spPr>
            <a:solidFill>
              <a:schemeClr val="accent5">
                <a:tint val="77000"/>
              </a:schemeClr>
            </a:solidFill>
            <a:ln>
              <a:noFill/>
            </a:ln>
            <a:effectLst/>
          </c:spPr>
          <c:invertIfNegative val="0"/>
          <c:cat>
            <c:strRef>
              <c:f>Pivots!$BF$239:$BF$242</c:f>
              <c:strCache>
                <c:ptCount val="3"/>
                <c:pt idx="0">
                  <c:v>rural</c:v>
                </c:pt>
                <c:pt idx="1">
                  <c:v>camp</c:v>
                </c:pt>
                <c:pt idx="2">
                  <c:v>urban</c:v>
                </c:pt>
              </c:strCache>
            </c:strRef>
          </c:cat>
          <c:val>
            <c:numRef>
              <c:f>Pivots!$BJ$239:$BJ$242</c:f>
              <c:numCache>
                <c:formatCode>0.00%</c:formatCode>
                <c:ptCount val="3"/>
                <c:pt idx="0">
                  <c:v>0.04</c:v>
                </c:pt>
                <c:pt idx="1">
                  <c:v>2.2292993630573247E-2</c:v>
                </c:pt>
                <c:pt idx="2">
                  <c:v>2.9729729729729731E-2</c:v>
                </c:pt>
              </c:numCache>
            </c:numRef>
          </c:val>
        </c:ser>
        <c:ser>
          <c:idx val="4"/>
          <c:order val="4"/>
          <c:tx>
            <c:strRef>
              <c:f>Pivots!$BK$237:$BK$238</c:f>
              <c:strCache>
                <c:ptCount val="1"/>
                <c:pt idx="0">
                  <c:v>Irregular</c:v>
                </c:pt>
              </c:strCache>
            </c:strRef>
          </c:tx>
          <c:spPr>
            <a:solidFill>
              <a:schemeClr val="accent5">
                <a:tint val="54000"/>
              </a:schemeClr>
            </a:solidFill>
            <a:ln>
              <a:noFill/>
            </a:ln>
            <a:effectLst/>
          </c:spPr>
          <c:invertIfNegative val="0"/>
          <c:cat>
            <c:strRef>
              <c:f>Pivots!$BF$239:$BF$242</c:f>
              <c:strCache>
                <c:ptCount val="3"/>
                <c:pt idx="0">
                  <c:v>rural</c:v>
                </c:pt>
                <c:pt idx="1">
                  <c:v>camp</c:v>
                </c:pt>
                <c:pt idx="2">
                  <c:v>urban</c:v>
                </c:pt>
              </c:strCache>
            </c:strRef>
          </c:cat>
          <c:val>
            <c:numRef>
              <c:f>Pivots!$BK$239:$BK$242</c:f>
              <c:numCache>
                <c:formatCode>0.00%</c:formatCode>
                <c:ptCount val="3"/>
                <c:pt idx="0">
                  <c:v>7.0000000000000007E-2</c:v>
                </c:pt>
                <c:pt idx="1">
                  <c:v>2.5477707006369428E-2</c:v>
                </c:pt>
                <c:pt idx="2">
                  <c:v>6.0810810810810814E-2</c:v>
                </c:pt>
              </c:numCache>
            </c:numRef>
          </c:val>
        </c:ser>
        <c:dLbls>
          <c:showLegendKey val="0"/>
          <c:showVal val="0"/>
          <c:showCatName val="0"/>
          <c:showSerName val="0"/>
          <c:showPercent val="0"/>
          <c:showBubbleSize val="0"/>
        </c:dLbls>
        <c:gapWidth val="50"/>
        <c:overlap val="100"/>
        <c:axId val="530045680"/>
        <c:axId val="530050776"/>
      </c:barChart>
      <c:catAx>
        <c:axId val="530045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50776"/>
        <c:crosses val="autoZero"/>
        <c:auto val="1"/>
        <c:lblAlgn val="ctr"/>
        <c:lblOffset val="100"/>
        <c:noMultiLvlLbl val="0"/>
      </c:catAx>
      <c:valAx>
        <c:axId val="5300507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45680"/>
        <c:crosses val="autoZero"/>
        <c:crossBetween val="between"/>
      </c:valAx>
      <c:spPr>
        <a:noFill/>
        <a:ln>
          <a:noFill/>
        </a:ln>
        <a:effectLst/>
      </c:spPr>
    </c:plotArea>
    <c:legend>
      <c:legendPos val="r"/>
      <c:layout>
        <c:manualLayout>
          <c:xMode val="edge"/>
          <c:yMode val="edge"/>
          <c:x val="0.77921513404843945"/>
          <c:y val="0.17817642736854425"/>
          <c:w val="0.22078486595156055"/>
          <c:h val="0.696743109423460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a:t>Proportion</a:t>
            </a:r>
            <a:r>
              <a:rPr lang="en-US" baseline="0"/>
              <a:t> Living in Proximity to Waste Piles</a:t>
            </a:r>
            <a:endParaRPr lang="en-US"/>
          </a:p>
        </c:rich>
      </c:tx>
      <c:layout>
        <c:manualLayout>
          <c:xMode val="edge"/>
          <c:yMode val="edge"/>
          <c:x val="0.12780038931162627"/>
          <c:y val="2.0833180736128915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813456957279338"/>
          <c:y val="0.18354166666666666"/>
          <c:w val="0.72293524802940612"/>
          <c:h val="0.52860343038515534"/>
        </c:manualLayout>
      </c:layout>
      <c:barChart>
        <c:barDir val="col"/>
        <c:grouping val="clustered"/>
        <c:varyColors val="0"/>
        <c:ser>
          <c:idx val="0"/>
          <c:order val="0"/>
          <c:tx>
            <c:strRef>
              <c:f>SWM!$B$39</c:f>
              <c:strCache>
                <c:ptCount val="1"/>
                <c:pt idx="0">
                  <c:v>2010</c:v>
                </c:pt>
              </c:strCache>
            </c:strRef>
          </c:tx>
          <c:spPr>
            <a:solidFill>
              <a:schemeClr val="accent6">
                <a:shade val="76000"/>
              </a:schemeClr>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SWM!$A$40:$A$45</c:f>
              <c:strCache>
                <c:ptCount val="6"/>
                <c:pt idx="0">
                  <c:v>North Gaza</c:v>
                </c:pt>
                <c:pt idx="1">
                  <c:v>Gaza</c:v>
                </c:pt>
                <c:pt idx="2">
                  <c:v>Deir al-Balah</c:v>
                </c:pt>
                <c:pt idx="3">
                  <c:v>Khan Yunis</c:v>
                </c:pt>
                <c:pt idx="4">
                  <c:v>Rafah</c:v>
                </c:pt>
                <c:pt idx="5">
                  <c:v>Average</c:v>
                </c:pt>
              </c:strCache>
            </c:strRef>
          </c:cat>
          <c:val>
            <c:numRef>
              <c:f>SWM!$B$40:$B$45</c:f>
              <c:numCache>
                <c:formatCode>0.0%</c:formatCode>
                <c:ptCount val="6"/>
                <c:pt idx="0">
                  <c:v>0.113</c:v>
                </c:pt>
                <c:pt idx="1">
                  <c:v>9.5000000000000001E-2</c:v>
                </c:pt>
                <c:pt idx="2">
                  <c:v>0.13</c:v>
                </c:pt>
                <c:pt idx="3">
                  <c:v>0.112</c:v>
                </c:pt>
                <c:pt idx="4">
                  <c:v>0.17799999999999999</c:v>
                </c:pt>
                <c:pt idx="5">
                  <c:v>0.125</c:v>
                </c:pt>
              </c:numCache>
            </c:numRef>
          </c:val>
        </c:ser>
        <c:ser>
          <c:idx val="1"/>
          <c:order val="1"/>
          <c:tx>
            <c:strRef>
              <c:f>SWM!$C$39</c:f>
              <c:strCache>
                <c:ptCount val="1"/>
                <c:pt idx="0">
                  <c:v>2015</c:v>
                </c:pt>
              </c:strCache>
            </c:strRef>
          </c:tx>
          <c:spPr>
            <a:solidFill>
              <a:schemeClr val="accent6">
                <a:tint val="77000"/>
              </a:schemeClr>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SWM!$A$40:$A$45</c:f>
              <c:strCache>
                <c:ptCount val="6"/>
                <c:pt idx="0">
                  <c:v>North Gaza</c:v>
                </c:pt>
                <c:pt idx="1">
                  <c:v>Gaza</c:v>
                </c:pt>
                <c:pt idx="2">
                  <c:v>Deir al-Balah</c:v>
                </c:pt>
                <c:pt idx="3">
                  <c:v>Khan Yunis</c:v>
                </c:pt>
                <c:pt idx="4">
                  <c:v>Rafah</c:v>
                </c:pt>
                <c:pt idx="5">
                  <c:v>Average</c:v>
                </c:pt>
              </c:strCache>
            </c:strRef>
          </c:cat>
          <c:val>
            <c:numRef>
              <c:f>SWM!$C$40:$C$45</c:f>
              <c:numCache>
                <c:formatCode>0.0%</c:formatCode>
                <c:ptCount val="6"/>
                <c:pt idx="0">
                  <c:v>0.15088757396449703</c:v>
                </c:pt>
                <c:pt idx="1">
                  <c:v>0.17549668874172186</c:v>
                </c:pt>
                <c:pt idx="2">
                  <c:v>0.17741935483870969</c:v>
                </c:pt>
                <c:pt idx="3">
                  <c:v>0.13452188006482982</c:v>
                </c:pt>
                <c:pt idx="4">
                  <c:v>0.11257035647279549</c:v>
                </c:pt>
                <c:pt idx="5">
                  <c:v>0.15192672141503474</c:v>
                </c:pt>
              </c:numCache>
            </c:numRef>
          </c:val>
        </c:ser>
        <c:dLbls>
          <c:showLegendKey val="0"/>
          <c:showVal val="0"/>
          <c:showCatName val="0"/>
          <c:showSerName val="0"/>
          <c:showPercent val="0"/>
          <c:showBubbleSize val="0"/>
        </c:dLbls>
        <c:gapWidth val="80"/>
        <c:axId val="530047640"/>
        <c:axId val="530052736"/>
      </c:barChart>
      <c:catAx>
        <c:axId val="530047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52736"/>
        <c:crosses val="autoZero"/>
        <c:auto val="1"/>
        <c:lblAlgn val="ctr"/>
        <c:lblOffset val="100"/>
        <c:noMultiLvlLbl val="0"/>
      </c:catAx>
      <c:valAx>
        <c:axId val="530052736"/>
        <c:scaling>
          <c:orientation val="minMax"/>
          <c:max val="0.18000000000000002"/>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47640"/>
        <c:crosses val="autoZero"/>
        <c:crossBetween val="between"/>
        <c:majorUnit val="5.000000000000001E-2"/>
      </c:valAx>
      <c:spPr>
        <a:noFill/>
        <a:ln>
          <a:noFill/>
        </a:ln>
        <a:effectLst/>
      </c:spPr>
    </c:plotArea>
    <c:legend>
      <c:legendPos val="r"/>
      <c:layout>
        <c:manualLayout>
          <c:xMode val="edge"/>
          <c:yMode val="edge"/>
          <c:x val="0.86597464131674695"/>
          <c:y val="0.39124890638670162"/>
          <c:w val="0.12660558498635083"/>
          <c:h val="0.234376640419947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Average Bathing Frequency in Winter</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ShowerP!$B$42</c:f>
              <c:strCache>
                <c:ptCount val="1"/>
                <c:pt idx="0">
                  <c:v>Daily</c:v>
                </c:pt>
              </c:strCache>
            </c:strRef>
          </c:tx>
          <c:spPr>
            <a:solidFill>
              <a:schemeClr val="accent5">
                <a:shade val="58000"/>
              </a:schemeClr>
            </a:solidFill>
            <a:ln>
              <a:noFill/>
            </a:ln>
            <a:effectLst/>
          </c:spPr>
          <c:invertIfNegative val="0"/>
          <c:cat>
            <c:strRef>
              <c:f>ShowerP!$A$43:$A$48</c:f>
              <c:strCache>
                <c:ptCount val="6"/>
                <c:pt idx="0">
                  <c:v>North</c:v>
                </c:pt>
                <c:pt idx="1">
                  <c:v>Gaza</c:v>
                </c:pt>
                <c:pt idx="2">
                  <c:v>Middle</c:v>
                </c:pt>
                <c:pt idx="3">
                  <c:v>Khan Yunis</c:v>
                </c:pt>
                <c:pt idx="4">
                  <c:v>Rafah</c:v>
                </c:pt>
                <c:pt idx="5">
                  <c:v>Average</c:v>
                </c:pt>
              </c:strCache>
            </c:strRef>
          </c:cat>
          <c:val>
            <c:numRef>
              <c:f>ShowerP!$B$43:$B$48</c:f>
              <c:numCache>
                <c:formatCode>0.0%</c:formatCode>
                <c:ptCount val="6"/>
                <c:pt idx="0">
                  <c:v>3.6982248520710061E-2</c:v>
                </c:pt>
                <c:pt idx="1">
                  <c:v>4.3046357615894038E-2</c:v>
                </c:pt>
                <c:pt idx="2">
                  <c:v>0.10368663594470046</c:v>
                </c:pt>
                <c:pt idx="3">
                  <c:v>6.3209076175040513E-2</c:v>
                </c:pt>
                <c:pt idx="4">
                  <c:v>2.4390243902439025E-2</c:v>
                </c:pt>
                <c:pt idx="5">
                  <c:v>5.0852811118130135E-2</c:v>
                </c:pt>
              </c:numCache>
            </c:numRef>
          </c:val>
        </c:ser>
        <c:ser>
          <c:idx val="1"/>
          <c:order val="1"/>
          <c:tx>
            <c:strRef>
              <c:f>ShowerP!$C$42</c:f>
              <c:strCache>
                <c:ptCount val="1"/>
                <c:pt idx="0">
                  <c:v>≥4</c:v>
                </c:pt>
              </c:strCache>
            </c:strRef>
          </c:tx>
          <c:spPr>
            <a:solidFill>
              <a:schemeClr val="accent5">
                <a:shade val="86000"/>
              </a:schemeClr>
            </a:solidFill>
            <a:ln>
              <a:noFill/>
            </a:ln>
            <a:effectLst/>
          </c:spPr>
          <c:invertIfNegative val="0"/>
          <c:cat>
            <c:strRef>
              <c:f>ShowerP!$A$43:$A$48</c:f>
              <c:strCache>
                <c:ptCount val="6"/>
                <c:pt idx="0">
                  <c:v>North</c:v>
                </c:pt>
                <c:pt idx="1">
                  <c:v>Gaza</c:v>
                </c:pt>
                <c:pt idx="2">
                  <c:v>Middle</c:v>
                </c:pt>
                <c:pt idx="3">
                  <c:v>Khan Yunis</c:v>
                </c:pt>
                <c:pt idx="4">
                  <c:v>Rafah</c:v>
                </c:pt>
                <c:pt idx="5">
                  <c:v>Average</c:v>
                </c:pt>
              </c:strCache>
            </c:strRef>
          </c:cat>
          <c:val>
            <c:numRef>
              <c:f>ShowerP!$C$43:$C$48</c:f>
              <c:numCache>
                <c:formatCode>0.0%</c:formatCode>
                <c:ptCount val="6"/>
                <c:pt idx="0">
                  <c:v>0.59023668639053251</c:v>
                </c:pt>
                <c:pt idx="1">
                  <c:v>0.57615894039735094</c:v>
                </c:pt>
                <c:pt idx="2">
                  <c:v>0.53686635944700456</c:v>
                </c:pt>
                <c:pt idx="3">
                  <c:v>0.45218800648298219</c:v>
                </c:pt>
                <c:pt idx="4">
                  <c:v>0.40900562851782363</c:v>
                </c:pt>
                <c:pt idx="5">
                  <c:v>0.52147820593809224</c:v>
                </c:pt>
              </c:numCache>
            </c:numRef>
          </c:val>
        </c:ser>
        <c:ser>
          <c:idx val="2"/>
          <c:order val="2"/>
          <c:tx>
            <c:strRef>
              <c:f>ShowerP!$D$42</c:f>
              <c:strCache>
                <c:ptCount val="1"/>
                <c:pt idx="0">
                  <c:v>1-3</c:v>
                </c:pt>
              </c:strCache>
            </c:strRef>
          </c:tx>
          <c:spPr>
            <a:solidFill>
              <a:schemeClr val="accent6">
                <a:lumMod val="20000"/>
                <a:lumOff val="80000"/>
              </a:schemeClr>
            </a:solidFill>
            <a:ln>
              <a:noFill/>
            </a:ln>
            <a:effectLst/>
          </c:spPr>
          <c:invertIfNegative val="0"/>
          <c:cat>
            <c:strRef>
              <c:f>ShowerP!$A$43:$A$48</c:f>
              <c:strCache>
                <c:ptCount val="6"/>
                <c:pt idx="0">
                  <c:v>North</c:v>
                </c:pt>
                <c:pt idx="1">
                  <c:v>Gaza</c:v>
                </c:pt>
                <c:pt idx="2">
                  <c:v>Middle</c:v>
                </c:pt>
                <c:pt idx="3">
                  <c:v>Khan Yunis</c:v>
                </c:pt>
                <c:pt idx="4">
                  <c:v>Rafah</c:v>
                </c:pt>
                <c:pt idx="5">
                  <c:v>Average</c:v>
                </c:pt>
              </c:strCache>
            </c:strRef>
          </c:cat>
          <c:val>
            <c:numRef>
              <c:f>ShowerP!$D$43:$D$48</c:f>
              <c:numCache>
                <c:formatCode>0.0%</c:formatCode>
                <c:ptCount val="6"/>
                <c:pt idx="0">
                  <c:v>0.36538461538461536</c:v>
                </c:pt>
                <c:pt idx="1">
                  <c:v>0.37086092715231789</c:v>
                </c:pt>
                <c:pt idx="2">
                  <c:v>0.35944700460829493</c:v>
                </c:pt>
                <c:pt idx="3">
                  <c:v>0.48136142625607781</c:v>
                </c:pt>
                <c:pt idx="4">
                  <c:v>0.5272045028142589</c:v>
                </c:pt>
                <c:pt idx="5">
                  <c:v>0.41598231206569802</c:v>
                </c:pt>
              </c:numCache>
            </c:numRef>
          </c:val>
        </c:ser>
        <c:ser>
          <c:idx val="3"/>
          <c:order val="3"/>
          <c:tx>
            <c:strRef>
              <c:f>ShowerP!$E$42</c:f>
              <c:strCache>
                <c:ptCount val="1"/>
                <c:pt idx="0">
                  <c:v>&lt;1</c:v>
                </c:pt>
              </c:strCache>
            </c:strRef>
          </c:tx>
          <c:spPr>
            <a:solidFill>
              <a:schemeClr val="accent6">
                <a:lumMod val="60000"/>
                <a:lumOff val="40000"/>
              </a:schemeClr>
            </a:solidFill>
            <a:ln>
              <a:noFill/>
            </a:ln>
            <a:effectLst/>
          </c:spPr>
          <c:invertIfNegative val="0"/>
          <c:cat>
            <c:strRef>
              <c:f>ShowerP!$A$43:$A$48</c:f>
              <c:strCache>
                <c:ptCount val="6"/>
                <c:pt idx="0">
                  <c:v>North</c:v>
                </c:pt>
                <c:pt idx="1">
                  <c:v>Gaza</c:v>
                </c:pt>
                <c:pt idx="2">
                  <c:v>Middle</c:v>
                </c:pt>
                <c:pt idx="3">
                  <c:v>Khan Yunis</c:v>
                </c:pt>
                <c:pt idx="4">
                  <c:v>Rafah</c:v>
                </c:pt>
                <c:pt idx="5">
                  <c:v>Average</c:v>
                </c:pt>
              </c:strCache>
            </c:strRef>
          </c:cat>
          <c:val>
            <c:numRef>
              <c:f>ShowerP!$E$43:$E$48</c:f>
              <c:numCache>
                <c:formatCode>0.0%</c:formatCode>
                <c:ptCount val="6"/>
                <c:pt idx="0">
                  <c:v>7.3964497041420114E-3</c:v>
                </c:pt>
                <c:pt idx="1">
                  <c:v>9.9337748344370865E-3</c:v>
                </c:pt>
                <c:pt idx="2">
                  <c:v>0</c:v>
                </c:pt>
                <c:pt idx="3">
                  <c:v>3.2414910858995136E-3</c:v>
                </c:pt>
                <c:pt idx="4">
                  <c:v>3.9399624765478425E-2</c:v>
                </c:pt>
                <c:pt idx="5">
                  <c:v>1.1686670878079595E-2</c:v>
                </c:pt>
              </c:numCache>
            </c:numRef>
          </c:val>
        </c:ser>
        <c:dLbls>
          <c:showLegendKey val="0"/>
          <c:showVal val="0"/>
          <c:showCatName val="0"/>
          <c:showSerName val="0"/>
          <c:showPercent val="0"/>
          <c:showBubbleSize val="0"/>
        </c:dLbls>
        <c:gapWidth val="150"/>
        <c:overlap val="100"/>
        <c:axId val="530048032"/>
        <c:axId val="530055872"/>
      </c:barChart>
      <c:catAx>
        <c:axId val="53004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55872"/>
        <c:crosses val="autoZero"/>
        <c:auto val="1"/>
        <c:lblAlgn val="ctr"/>
        <c:lblOffset val="100"/>
        <c:noMultiLvlLbl val="0"/>
      </c:catAx>
      <c:valAx>
        <c:axId val="530055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480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Average</a:t>
            </a:r>
            <a:r>
              <a:rPr lang="en-US" sz="1100" baseline="0"/>
              <a:t> Bathing Frequency in Summer</a:t>
            </a:r>
            <a:endParaRPr lang="en-US" sz="1100"/>
          </a:p>
        </c:rich>
      </c:tx>
      <c:layout>
        <c:manualLayout>
          <c:xMode val="edge"/>
          <c:yMode val="edge"/>
          <c:x val="0.18753005271931369"/>
          <c:y val="3.412969283276450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035859975334408"/>
          <c:y val="0.18723549488054608"/>
          <c:w val="0.74216569314377867"/>
          <c:h val="0.41592808578108625"/>
        </c:manualLayout>
      </c:layout>
      <c:barChart>
        <c:barDir val="col"/>
        <c:grouping val="percentStacked"/>
        <c:varyColors val="0"/>
        <c:ser>
          <c:idx val="0"/>
          <c:order val="0"/>
          <c:tx>
            <c:strRef>
              <c:f>ShowerP!$K$33</c:f>
              <c:strCache>
                <c:ptCount val="1"/>
                <c:pt idx="0">
                  <c:v>Daily</c:v>
                </c:pt>
              </c:strCache>
            </c:strRef>
          </c:tx>
          <c:spPr>
            <a:solidFill>
              <a:schemeClr val="accent5">
                <a:shade val="53000"/>
              </a:schemeClr>
            </a:solidFill>
            <a:ln>
              <a:noFill/>
            </a:ln>
            <a:effectLst/>
          </c:spPr>
          <c:invertIfNegative val="0"/>
          <c:cat>
            <c:multiLvlStrRef>
              <c:f>ShowerP!$I$34:$J$45</c:f>
              <c:multiLvlStrCache>
                <c:ptCount val="12"/>
                <c:lvl>
                  <c:pt idx="0">
                    <c:v>2010</c:v>
                  </c:pt>
                  <c:pt idx="1">
                    <c:v>2015</c:v>
                  </c:pt>
                  <c:pt idx="2">
                    <c:v>2010</c:v>
                  </c:pt>
                  <c:pt idx="3">
                    <c:v>2015</c:v>
                  </c:pt>
                  <c:pt idx="4">
                    <c:v>2010</c:v>
                  </c:pt>
                  <c:pt idx="5">
                    <c:v>2015</c:v>
                  </c:pt>
                  <c:pt idx="6">
                    <c:v>2010</c:v>
                  </c:pt>
                  <c:pt idx="7">
                    <c:v>2015</c:v>
                  </c:pt>
                  <c:pt idx="8">
                    <c:v>2010</c:v>
                  </c:pt>
                  <c:pt idx="9">
                    <c:v>2015</c:v>
                  </c:pt>
                  <c:pt idx="10">
                    <c:v>2010</c:v>
                  </c:pt>
                  <c:pt idx="11">
                    <c:v>2015</c:v>
                  </c:pt>
                </c:lvl>
                <c:lvl>
                  <c:pt idx="0">
                    <c:v>North Gaza</c:v>
                  </c:pt>
                  <c:pt idx="2">
                    <c:v>Gaza</c:v>
                  </c:pt>
                  <c:pt idx="4">
                    <c:v>Deir al-Balah</c:v>
                  </c:pt>
                  <c:pt idx="6">
                    <c:v>Khan Yunis</c:v>
                  </c:pt>
                  <c:pt idx="8">
                    <c:v>Rafah</c:v>
                  </c:pt>
                  <c:pt idx="10">
                    <c:v>Average</c:v>
                  </c:pt>
                </c:lvl>
              </c:multiLvlStrCache>
            </c:multiLvlStrRef>
          </c:cat>
          <c:val>
            <c:numRef>
              <c:f>ShowerP!$K$34:$K$45</c:f>
              <c:numCache>
                <c:formatCode>0.0%</c:formatCode>
                <c:ptCount val="12"/>
                <c:pt idx="0">
                  <c:v>0.45700000000000002</c:v>
                </c:pt>
                <c:pt idx="1">
                  <c:v>0.84467455621301779</c:v>
                </c:pt>
                <c:pt idx="2">
                  <c:v>0.33299999999999996</c:v>
                </c:pt>
                <c:pt idx="3">
                  <c:v>0.88300220750551872</c:v>
                </c:pt>
                <c:pt idx="4">
                  <c:v>0.46399999999999997</c:v>
                </c:pt>
                <c:pt idx="5">
                  <c:v>0.88248847926267282</c:v>
                </c:pt>
                <c:pt idx="6">
                  <c:v>0.36899999999999999</c:v>
                </c:pt>
                <c:pt idx="7">
                  <c:v>0.86709886547811998</c:v>
                </c:pt>
                <c:pt idx="8">
                  <c:v>0.56600000000000006</c:v>
                </c:pt>
                <c:pt idx="9">
                  <c:v>0.63227016885553466</c:v>
                </c:pt>
                <c:pt idx="10">
                  <c:v>0.43799999999999994</c:v>
                </c:pt>
                <c:pt idx="11">
                  <c:v>0.82943777637397342</c:v>
                </c:pt>
              </c:numCache>
            </c:numRef>
          </c:val>
        </c:ser>
        <c:ser>
          <c:idx val="1"/>
          <c:order val="1"/>
          <c:tx>
            <c:strRef>
              <c:f>ShowerP!$L$33</c:f>
              <c:strCache>
                <c:ptCount val="1"/>
                <c:pt idx="0">
                  <c:v>≥4</c:v>
                </c:pt>
              </c:strCache>
            </c:strRef>
          </c:tx>
          <c:spPr>
            <a:solidFill>
              <a:schemeClr val="accent5">
                <a:shade val="76000"/>
              </a:schemeClr>
            </a:solidFill>
            <a:ln>
              <a:noFill/>
            </a:ln>
            <a:effectLst/>
          </c:spPr>
          <c:invertIfNegative val="0"/>
          <c:cat>
            <c:multiLvlStrRef>
              <c:f>ShowerP!$I$34:$J$45</c:f>
              <c:multiLvlStrCache>
                <c:ptCount val="12"/>
                <c:lvl>
                  <c:pt idx="0">
                    <c:v>2010</c:v>
                  </c:pt>
                  <c:pt idx="1">
                    <c:v>2015</c:v>
                  </c:pt>
                  <c:pt idx="2">
                    <c:v>2010</c:v>
                  </c:pt>
                  <c:pt idx="3">
                    <c:v>2015</c:v>
                  </c:pt>
                  <c:pt idx="4">
                    <c:v>2010</c:v>
                  </c:pt>
                  <c:pt idx="5">
                    <c:v>2015</c:v>
                  </c:pt>
                  <c:pt idx="6">
                    <c:v>2010</c:v>
                  </c:pt>
                  <c:pt idx="7">
                    <c:v>2015</c:v>
                  </c:pt>
                  <c:pt idx="8">
                    <c:v>2010</c:v>
                  </c:pt>
                  <c:pt idx="9">
                    <c:v>2015</c:v>
                  </c:pt>
                  <c:pt idx="10">
                    <c:v>2010</c:v>
                  </c:pt>
                  <c:pt idx="11">
                    <c:v>2015</c:v>
                  </c:pt>
                </c:lvl>
                <c:lvl>
                  <c:pt idx="0">
                    <c:v>North Gaza</c:v>
                  </c:pt>
                  <c:pt idx="2">
                    <c:v>Gaza</c:v>
                  </c:pt>
                  <c:pt idx="4">
                    <c:v>Deir al-Balah</c:v>
                  </c:pt>
                  <c:pt idx="6">
                    <c:v>Khan Yunis</c:v>
                  </c:pt>
                  <c:pt idx="8">
                    <c:v>Rafah</c:v>
                  </c:pt>
                  <c:pt idx="10">
                    <c:v>Average</c:v>
                  </c:pt>
                </c:lvl>
              </c:multiLvlStrCache>
            </c:multiLvlStrRef>
          </c:cat>
          <c:val>
            <c:numRef>
              <c:f>ShowerP!$L$34:$L$45</c:f>
              <c:numCache>
                <c:formatCode>0.0%</c:formatCode>
                <c:ptCount val="12"/>
                <c:pt idx="0">
                  <c:v>0.46399999999999997</c:v>
                </c:pt>
                <c:pt idx="1">
                  <c:v>0.13609467455621302</c:v>
                </c:pt>
                <c:pt idx="2">
                  <c:v>0.61</c:v>
                </c:pt>
                <c:pt idx="3">
                  <c:v>8.1677704194260486E-2</c:v>
                </c:pt>
                <c:pt idx="4">
                  <c:v>0.45</c:v>
                </c:pt>
                <c:pt idx="5">
                  <c:v>0.11290322580645161</c:v>
                </c:pt>
                <c:pt idx="6">
                  <c:v>0.57200000000000006</c:v>
                </c:pt>
                <c:pt idx="7">
                  <c:v>0.11831442463533225</c:v>
                </c:pt>
                <c:pt idx="8">
                  <c:v>0.42</c:v>
                </c:pt>
                <c:pt idx="9">
                  <c:v>0.31332082551594748</c:v>
                </c:pt>
                <c:pt idx="10">
                  <c:v>0.503</c:v>
                </c:pt>
                <c:pt idx="11">
                  <c:v>0.14371446620341125</c:v>
                </c:pt>
              </c:numCache>
            </c:numRef>
          </c:val>
        </c:ser>
        <c:ser>
          <c:idx val="2"/>
          <c:order val="2"/>
          <c:tx>
            <c:strRef>
              <c:f>ShowerP!$M$33</c:f>
              <c:strCache>
                <c:ptCount val="1"/>
                <c:pt idx="0">
                  <c:v>1-3</c:v>
                </c:pt>
              </c:strCache>
            </c:strRef>
          </c:tx>
          <c:spPr>
            <a:solidFill>
              <a:schemeClr val="accent6">
                <a:lumMod val="20000"/>
                <a:lumOff val="80000"/>
              </a:schemeClr>
            </a:solidFill>
            <a:ln>
              <a:noFill/>
            </a:ln>
            <a:effectLst/>
          </c:spPr>
          <c:invertIfNegative val="0"/>
          <c:cat>
            <c:multiLvlStrRef>
              <c:f>ShowerP!$I$34:$J$45</c:f>
              <c:multiLvlStrCache>
                <c:ptCount val="12"/>
                <c:lvl>
                  <c:pt idx="0">
                    <c:v>2010</c:v>
                  </c:pt>
                  <c:pt idx="1">
                    <c:v>2015</c:v>
                  </c:pt>
                  <c:pt idx="2">
                    <c:v>2010</c:v>
                  </c:pt>
                  <c:pt idx="3">
                    <c:v>2015</c:v>
                  </c:pt>
                  <c:pt idx="4">
                    <c:v>2010</c:v>
                  </c:pt>
                  <c:pt idx="5">
                    <c:v>2015</c:v>
                  </c:pt>
                  <c:pt idx="6">
                    <c:v>2010</c:v>
                  </c:pt>
                  <c:pt idx="7">
                    <c:v>2015</c:v>
                  </c:pt>
                  <c:pt idx="8">
                    <c:v>2010</c:v>
                  </c:pt>
                  <c:pt idx="9">
                    <c:v>2015</c:v>
                  </c:pt>
                  <c:pt idx="10">
                    <c:v>2010</c:v>
                  </c:pt>
                  <c:pt idx="11">
                    <c:v>2015</c:v>
                  </c:pt>
                </c:lvl>
                <c:lvl>
                  <c:pt idx="0">
                    <c:v>North Gaza</c:v>
                  </c:pt>
                  <c:pt idx="2">
                    <c:v>Gaza</c:v>
                  </c:pt>
                  <c:pt idx="4">
                    <c:v>Deir al-Balah</c:v>
                  </c:pt>
                  <c:pt idx="6">
                    <c:v>Khan Yunis</c:v>
                  </c:pt>
                  <c:pt idx="8">
                    <c:v>Rafah</c:v>
                  </c:pt>
                  <c:pt idx="10">
                    <c:v>Average</c:v>
                  </c:pt>
                </c:lvl>
              </c:multiLvlStrCache>
            </c:multiLvlStrRef>
          </c:cat>
          <c:val>
            <c:numRef>
              <c:f>ShowerP!$M$34:$M$45</c:f>
              <c:numCache>
                <c:formatCode>0.0%</c:formatCode>
                <c:ptCount val="12"/>
                <c:pt idx="0">
                  <c:v>7.9000000000000001E-2</c:v>
                </c:pt>
                <c:pt idx="1">
                  <c:v>1.7751479289940829E-2</c:v>
                </c:pt>
                <c:pt idx="2">
                  <c:v>5.5E-2</c:v>
                </c:pt>
                <c:pt idx="3">
                  <c:v>2.8697571743929361E-2</c:v>
                </c:pt>
                <c:pt idx="4">
                  <c:v>8.6999999999999994E-2</c:v>
                </c:pt>
                <c:pt idx="5">
                  <c:v>4.608294930875576E-3</c:v>
                </c:pt>
                <c:pt idx="6">
                  <c:v>4.2000000000000003E-2</c:v>
                </c:pt>
                <c:pt idx="7">
                  <c:v>1.4586709886547812E-2</c:v>
                </c:pt>
                <c:pt idx="8">
                  <c:v>1.3999999999999999E-2</c:v>
                </c:pt>
                <c:pt idx="9">
                  <c:v>5.4409005628517824E-2</c:v>
                </c:pt>
                <c:pt idx="10">
                  <c:v>5.5E-2</c:v>
                </c:pt>
                <c:pt idx="11">
                  <c:v>2.4636765634870498E-2</c:v>
                </c:pt>
              </c:numCache>
            </c:numRef>
          </c:val>
        </c:ser>
        <c:ser>
          <c:idx val="3"/>
          <c:order val="3"/>
          <c:tx>
            <c:strRef>
              <c:f>ShowerP!$N$33</c:f>
              <c:strCache>
                <c:ptCount val="1"/>
                <c:pt idx="0">
                  <c:v>&lt;1</c:v>
                </c:pt>
              </c:strCache>
            </c:strRef>
          </c:tx>
          <c:spPr>
            <a:solidFill>
              <a:schemeClr val="accent6">
                <a:lumMod val="60000"/>
                <a:lumOff val="40000"/>
              </a:schemeClr>
            </a:solidFill>
            <a:ln>
              <a:noFill/>
            </a:ln>
            <a:effectLst/>
          </c:spPr>
          <c:invertIfNegative val="0"/>
          <c:cat>
            <c:multiLvlStrRef>
              <c:f>ShowerP!$I$34:$J$45</c:f>
              <c:multiLvlStrCache>
                <c:ptCount val="12"/>
                <c:lvl>
                  <c:pt idx="0">
                    <c:v>2010</c:v>
                  </c:pt>
                  <c:pt idx="1">
                    <c:v>2015</c:v>
                  </c:pt>
                  <c:pt idx="2">
                    <c:v>2010</c:v>
                  </c:pt>
                  <c:pt idx="3">
                    <c:v>2015</c:v>
                  </c:pt>
                  <c:pt idx="4">
                    <c:v>2010</c:v>
                  </c:pt>
                  <c:pt idx="5">
                    <c:v>2015</c:v>
                  </c:pt>
                  <c:pt idx="6">
                    <c:v>2010</c:v>
                  </c:pt>
                  <c:pt idx="7">
                    <c:v>2015</c:v>
                  </c:pt>
                  <c:pt idx="8">
                    <c:v>2010</c:v>
                  </c:pt>
                  <c:pt idx="9">
                    <c:v>2015</c:v>
                  </c:pt>
                  <c:pt idx="10">
                    <c:v>2010</c:v>
                  </c:pt>
                  <c:pt idx="11">
                    <c:v>2015</c:v>
                  </c:pt>
                </c:lvl>
                <c:lvl>
                  <c:pt idx="0">
                    <c:v>North Gaza</c:v>
                  </c:pt>
                  <c:pt idx="2">
                    <c:v>Gaza</c:v>
                  </c:pt>
                  <c:pt idx="4">
                    <c:v>Deir al-Balah</c:v>
                  </c:pt>
                  <c:pt idx="6">
                    <c:v>Khan Yunis</c:v>
                  </c:pt>
                  <c:pt idx="8">
                    <c:v>Rafah</c:v>
                  </c:pt>
                  <c:pt idx="10">
                    <c:v>Average</c:v>
                  </c:pt>
                </c:lvl>
              </c:multiLvlStrCache>
            </c:multiLvlStrRef>
          </c:cat>
          <c:val>
            <c:numRef>
              <c:f>ShowerP!$N$34:$N$45</c:f>
              <c:numCache>
                <c:formatCode>0.0%</c:formatCode>
                <c:ptCount val="12"/>
                <c:pt idx="0">
                  <c:v>0</c:v>
                </c:pt>
                <c:pt idx="1">
                  <c:v>1.4792899408284023E-3</c:v>
                </c:pt>
                <c:pt idx="2">
                  <c:v>2E-3</c:v>
                </c:pt>
                <c:pt idx="3">
                  <c:v>6.6225165562913907E-3</c:v>
                </c:pt>
                <c:pt idx="4">
                  <c:v>0</c:v>
                </c:pt>
                <c:pt idx="5">
                  <c:v>0</c:v>
                </c:pt>
                <c:pt idx="6">
                  <c:v>1.7000000000000001E-2</c:v>
                </c:pt>
                <c:pt idx="7">
                  <c:v>0</c:v>
                </c:pt>
                <c:pt idx="8">
                  <c:v>0</c:v>
                </c:pt>
                <c:pt idx="9">
                  <c:v>0</c:v>
                </c:pt>
                <c:pt idx="10">
                  <c:v>4.0000000000000001E-3</c:v>
                </c:pt>
                <c:pt idx="11">
                  <c:v>2.2109917877447885E-3</c:v>
                </c:pt>
              </c:numCache>
            </c:numRef>
          </c:val>
        </c:ser>
        <c:ser>
          <c:idx val="4"/>
          <c:order val="4"/>
          <c:tx>
            <c:strRef>
              <c:f>ShowerP!$O$33</c:f>
              <c:strCache>
                <c:ptCount val="1"/>
              </c:strCache>
            </c:strRef>
          </c:tx>
          <c:spPr>
            <a:solidFill>
              <a:schemeClr val="bg1"/>
            </a:solidFill>
            <a:ln>
              <a:noFill/>
            </a:ln>
            <a:effectLst/>
          </c:spPr>
          <c:invertIfNegative val="0"/>
          <c:cat>
            <c:multiLvlStrRef>
              <c:f>ShowerP!$I$34:$J$45</c:f>
              <c:multiLvlStrCache>
                <c:ptCount val="12"/>
                <c:lvl>
                  <c:pt idx="0">
                    <c:v>2010</c:v>
                  </c:pt>
                  <c:pt idx="1">
                    <c:v>2015</c:v>
                  </c:pt>
                  <c:pt idx="2">
                    <c:v>2010</c:v>
                  </c:pt>
                  <c:pt idx="3">
                    <c:v>2015</c:v>
                  </c:pt>
                  <c:pt idx="4">
                    <c:v>2010</c:v>
                  </c:pt>
                  <c:pt idx="5">
                    <c:v>2015</c:v>
                  </c:pt>
                  <c:pt idx="6">
                    <c:v>2010</c:v>
                  </c:pt>
                  <c:pt idx="7">
                    <c:v>2015</c:v>
                  </c:pt>
                  <c:pt idx="8">
                    <c:v>2010</c:v>
                  </c:pt>
                  <c:pt idx="9">
                    <c:v>2015</c:v>
                  </c:pt>
                  <c:pt idx="10">
                    <c:v>2010</c:v>
                  </c:pt>
                  <c:pt idx="11">
                    <c:v>2015</c:v>
                  </c:pt>
                </c:lvl>
                <c:lvl>
                  <c:pt idx="0">
                    <c:v>North Gaza</c:v>
                  </c:pt>
                  <c:pt idx="2">
                    <c:v>Gaza</c:v>
                  </c:pt>
                  <c:pt idx="4">
                    <c:v>Deir al-Balah</c:v>
                  </c:pt>
                  <c:pt idx="6">
                    <c:v>Khan Yunis</c:v>
                  </c:pt>
                  <c:pt idx="8">
                    <c:v>Rafah</c:v>
                  </c:pt>
                  <c:pt idx="10">
                    <c:v>Average</c:v>
                  </c:pt>
                </c:lvl>
              </c:multiLvlStrCache>
            </c:multiLvlStrRef>
          </c:cat>
          <c:val>
            <c:numRef>
              <c:f>ShowerP!$O$34:$O$45</c:f>
              <c:numCache>
                <c:formatCode>General</c:formatCode>
                <c:ptCount val="12"/>
              </c:numCache>
            </c:numRef>
          </c:val>
        </c:ser>
        <c:dLbls>
          <c:showLegendKey val="0"/>
          <c:showVal val="0"/>
          <c:showCatName val="0"/>
          <c:showSerName val="0"/>
          <c:showPercent val="0"/>
          <c:showBubbleSize val="0"/>
        </c:dLbls>
        <c:gapWidth val="50"/>
        <c:overlap val="100"/>
        <c:axId val="530049600"/>
        <c:axId val="530056656"/>
      </c:barChart>
      <c:catAx>
        <c:axId val="5300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56656"/>
        <c:crosses val="autoZero"/>
        <c:auto val="1"/>
        <c:lblAlgn val="ctr"/>
        <c:lblOffset val="100"/>
        <c:tickMarkSkip val="1"/>
        <c:noMultiLvlLbl val="0"/>
      </c:catAx>
      <c:valAx>
        <c:axId val="530056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49600"/>
        <c:crosses val="autoZero"/>
        <c:crossBetween val="midCat"/>
      </c:valAx>
      <c:spPr>
        <a:noFill/>
        <a:ln>
          <a:noFill/>
        </a:ln>
        <a:effectLst/>
      </c:spPr>
    </c:plotArea>
    <c:legend>
      <c:legendPos val="r"/>
      <c:legendEntry>
        <c:idx val="0"/>
        <c:delete val="1"/>
      </c:legendEntry>
      <c:layout>
        <c:manualLayout>
          <c:xMode val="edge"/>
          <c:yMode val="edge"/>
          <c:x val="0.86940897448059962"/>
          <c:y val="0.22714788637768402"/>
          <c:w val="0.11682166235244691"/>
          <c:h val="0.459901641987584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2010</a:t>
            </a:r>
            <a:r>
              <a:rPr lang="en-US" sz="1100" baseline="0"/>
              <a:t> average days/week of water service</a:t>
            </a: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451493622891896"/>
          <c:y val="0.18826355525051475"/>
          <c:w val="0.67182403748995023"/>
          <c:h val="0.550422883824491"/>
        </c:manualLayout>
      </c:layout>
      <c:barChart>
        <c:barDir val="bar"/>
        <c:grouping val="percentStacked"/>
        <c:varyColors val="0"/>
        <c:ser>
          <c:idx val="0"/>
          <c:order val="0"/>
          <c:tx>
            <c:strRef>
              <c:f>FreqDays!$B$1</c:f>
              <c:strCache>
                <c:ptCount val="1"/>
                <c:pt idx="0">
                  <c:v>4-7</c:v>
                </c:pt>
              </c:strCache>
            </c:strRef>
          </c:tx>
          <c:spPr>
            <a:solidFill>
              <a:schemeClr val="accent3">
                <a:shade val="53000"/>
              </a:schemeClr>
            </a:solidFill>
            <a:ln>
              <a:noFill/>
            </a:ln>
            <a:effectLst/>
          </c:spPr>
          <c:invertIfNegative val="0"/>
          <c:cat>
            <c:strRef>
              <c:f>FreqDays!$A$2:$A$7</c:f>
              <c:strCache>
                <c:ptCount val="6"/>
                <c:pt idx="0">
                  <c:v>Average</c:v>
                </c:pt>
                <c:pt idx="1">
                  <c:v>Rafah</c:v>
                </c:pt>
                <c:pt idx="2">
                  <c:v>Khan Yunis</c:v>
                </c:pt>
                <c:pt idx="3">
                  <c:v>Deir al-Balah</c:v>
                </c:pt>
                <c:pt idx="4">
                  <c:v>Gaza</c:v>
                </c:pt>
                <c:pt idx="5">
                  <c:v>North Gaza</c:v>
                </c:pt>
              </c:strCache>
            </c:strRef>
          </c:cat>
          <c:val>
            <c:numRef>
              <c:f>FreqDays!$B$2:$B$7</c:f>
              <c:numCache>
                <c:formatCode>General</c:formatCode>
                <c:ptCount val="6"/>
                <c:pt idx="0">
                  <c:v>48.4</c:v>
                </c:pt>
                <c:pt idx="1">
                  <c:v>9.4</c:v>
                </c:pt>
                <c:pt idx="2">
                  <c:v>25.3</c:v>
                </c:pt>
                <c:pt idx="3">
                  <c:v>78.2</c:v>
                </c:pt>
                <c:pt idx="4">
                  <c:v>39.299999999999997</c:v>
                </c:pt>
                <c:pt idx="5">
                  <c:v>89.8</c:v>
                </c:pt>
              </c:numCache>
            </c:numRef>
          </c:val>
        </c:ser>
        <c:ser>
          <c:idx val="1"/>
          <c:order val="1"/>
          <c:tx>
            <c:strRef>
              <c:f>FreqDays!$C$1</c:f>
              <c:strCache>
                <c:ptCount val="1"/>
                <c:pt idx="0">
                  <c:v>2-3</c:v>
                </c:pt>
              </c:strCache>
            </c:strRef>
          </c:tx>
          <c:spPr>
            <a:solidFill>
              <a:schemeClr val="accent3">
                <a:shade val="76000"/>
              </a:schemeClr>
            </a:solidFill>
            <a:ln>
              <a:noFill/>
            </a:ln>
            <a:effectLst/>
          </c:spPr>
          <c:invertIfNegative val="0"/>
          <c:cat>
            <c:strRef>
              <c:f>FreqDays!$A$2:$A$7</c:f>
              <c:strCache>
                <c:ptCount val="6"/>
                <c:pt idx="0">
                  <c:v>Average</c:v>
                </c:pt>
                <c:pt idx="1">
                  <c:v>Rafah</c:v>
                </c:pt>
                <c:pt idx="2">
                  <c:v>Khan Yunis</c:v>
                </c:pt>
                <c:pt idx="3">
                  <c:v>Deir al-Balah</c:v>
                </c:pt>
                <c:pt idx="4">
                  <c:v>Gaza</c:v>
                </c:pt>
                <c:pt idx="5">
                  <c:v>North Gaza</c:v>
                </c:pt>
              </c:strCache>
            </c:strRef>
          </c:cat>
          <c:val>
            <c:numRef>
              <c:f>FreqDays!$C$2:$C$7</c:f>
              <c:numCache>
                <c:formatCode>General</c:formatCode>
                <c:ptCount val="6"/>
                <c:pt idx="0">
                  <c:v>39</c:v>
                </c:pt>
                <c:pt idx="1">
                  <c:v>84.7</c:v>
                </c:pt>
                <c:pt idx="2">
                  <c:v>33</c:v>
                </c:pt>
                <c:pt idx="3">
                  <c:v>19.100000000000001</c:v>
                </c:pt>
                <c:pt idx="4">
                  <c:v>53.3</c:v>
                </c:pt>
                <c:pt idx="5">
                  <c:v>4.9000000000000004</c:v>
                </c:pt>
              </c:numCache>
            </c:numRef>
          </c:val>
        </c:ser>
        <c:ser>
          <c:idx val="2"/>
          <c:order val="2"/>
          <c:tx>
            <c:strRef>
              <c:f>FreqDays!$D$1</c:f>
              <c:strCache>
                <c:ptCount val="1"/>
                <c:pt idx="0">
                  <c:v>1</c:v>
                </c:pt>
              </c:strCache>
            </c:strRef>
          </c:tx>
          <c:spPr>
            <a:solidFill>
              <a:schemeClr val="accent3"/>
            </a:solidFill>
            <a:ln>
              <a:noFill/>
            </a:ln>
            <a:effectLst/>
          </c:spPr>
          <c:invertIfNegative val="0"/>
          <c:cat>
            <c:strRef>
              <c:f>FreqDays!$A$2:$A$7</c:f>
              <c:strCache>
                <c:ptCount val="6"/>
                <c:pt idx="0">
                  <c:v>Average</c:v>
                </c:pt>
                <c:pt idx="1">
                  <c:v>Rafah</c:v>
                </c:pt>
                <c:pt idx="2">
                  <c:v>Khan Yunis</c:v>
                </c:pt>
                <c:pt idx="3">
                  <c:v>Deir al-Balah</c:v>
                </c:pt>
                <c:pt idx="4">
                  <c:v>Gaza</c:v>
                </c:pt>
                <c:pt idx="5">
                  <c:v>North Gaza</c:v>
                </c:pt>
              </c:strCache>
            </c:strRef>
          </c:cat>
          <c:val>
            <c:numRef>
              <c:f>FreqDays!$D$2:$D$7</c:f>
              <c:numCache>
                <c:formatCode>General</c:formatCode>
                <c:ptCount val="6"/>
                <c:pt idx="0">
                  <c:v>1.5</c:v>
                </c:pt>
                <c:pt idx="1">
                  <c:v>5.4</c:v>
                </c:pt>
                <c:pt idx="2">
                  <c:v>0.3</c:v>
                </c:pt>
                <c:pt idx="3">
                  <c:v>0.8</c:v>
                </c:pt>
                <c:pt idx="4">
                  <c:v>0.9</c:v>
                </c:pt>
                <c:pt idx="5">
                  <c:v>0.3</c:v>
                </c:pt>
              </c:numCache>
            </c:numRef>
          </c:val>
        </c:ser>
        <c:ser>
          <c:idx val="3"/>
          <c:order val="3"/>
          <c:tx>
            <c:strRef>
              <c:f>FreqDays!$E$1</c:f>
              <c:strCache>
                <c:ptCount val="1"/>
                <c:pt idx="0">
                  <c:v>&lt;1</c:v>
                </c:pt>
              </c:strCache>
            </c:strRef>
          </c:tx>
          <c:spPr>
            <a:solidFill>
              <a:schemeClr val="accent3">
                <a:tint val="77000"/>
              </a:schemeClr>
            </a:solidFill>
            <a:ln>
              <a:noFill/>
            </a:ln>
            <a:effectLst/>
          </c:spPr>
          <c:invertIfNegative val="0"/>
          <c:cat>
            <c:strRef>
              <c:f>FreqDays!$A$2:$A$7</c:f>
              <c:strCache>
                <c:ptCount val="6"/>
                <c:pt idx="0">
                  <c:v>Average</c:v>
                </c:pt>
                <c:pt idx="1">
                  <c:v>Rafah</c:v>
                </c:pt>
                <c:pt idx="2">
                  <c:v>Khan Yunis</c:v>
                </c:pt>
                <c:pt idx="3">
                  <c:v>Deir al-Balah</c:v>
                </c:pt>
                <c:pt idx="4">
                  <c:v>Gaza</c:v>
                </c:pt>
                <c:pt idx="5">
                  <c:v>North Gaza</c:v>
                </c:pt>
              </c:strCache>
            </c:strRef>
          </c:cat>
          <c:val>
            <c:numRef>
              <c:f>FreqDays!$E$2:$E$7</c:f>
              <c:numCache>
                <c:formatCode>General</c:formatCode>
                <c:ptCount val="6"/>
                <c:pt idx="0">
                  <c:v>10.4</c:v>
                </c:pt>
                <c:pt idx="1">
                  <c:v>0.4</c:v>
                </c:pt>
                <c:pt idx="2">
                  <c:v>40.200000000000003</c:v>
                </c:pt>
                <c:pt idx="3">
                  <c:v>1.4</c:v>
                </c:pt>
                <c:pt idx="4">
                  <c:v>5.4</c:v>
                </c:pt>
                <c:pt idx="5">
                  <c:v>4.7</c:v>
                </c:pt>
              </c:numCache>
            </c:numRef>
          </c:val>
        </c:ser>
        <c:ser>
          <c:idx val="4"/>
          <c:order val="4"/>
          <c:tx>
            <c:strRef>
              <c:f>FreqDays!$F$1</c:f>
              <c:strCache>
                <c:ptCount val="1"/>
                <c:pt idx="0">
                  <c:v>Not connected</c:v>
                </c:pt>
              </c:strCache>
            </c:strRef>
          </c:tx>
          <c:spPr>
            <a:solidFill>
              <a:schemeClr val="accent3">
                <a:lumMod val="20000"/>
                <a:lumOff val="80000"/>
              </a:schemeClr>
            </a:solidFill>
            <a:ln>
              <a:noFill/>
            </a:ln>
            <a:effectLst/>
          </c:spPr>
          <c:invertIfNegative val="0"/>
          <c:cat>
            <c:strRef>
              <c:f>FreqDays!$A$2:$A$7</c:f>
              <c:strCache>
                <c:ptCount val="6"/>
                <c:pt idx="0">
                  <c:v>Average</c:v>
                </c:pt>
                <c:pt idx="1">
                  <c:v>Rafah</c:v>
                </c:pt>
                <c:pt idx="2">
                  <c:v>Khan Yunis</c:v>
                </c:pt>
                <c:pt idx="3">
                  <c:v>Deir al-Balah</c:v>
                </c:pt>
                <c:pt idx="4">
                  <c:v>Gaza</c:v>
                </c:pt>
                <c:pt idx="5">
                  <c:v>North Gaza</c:v>
                </c:pt>
              </c:strCache>
            </c:strRef>
          </c:cat>
          <c:val>
            <c:numRef>
              <c:f>FreqDays!$F$2:$F$7</c:f>
              <c:numCache>
                <c:formatCode>General</c:formatCode>
                <c:ptCount val="6"/>
                <c:pt idx="0">
                  <c:v>0.9</c:v>
                </c:pt>
                <c:pt idx="1">
                  <c:v>0.2</c:v>
                </c:pt>
                <c:pt idx="2">
                  <c:v>2</c:v>
                </c:pt>
                <c:pt idx="3">
                  <c:v>0.5</c:v>
                </c:pt>
                <c:pt idx="4">
                  <c:v>1.5</c:v>
                </c:pt>
                <c:pt idx="5">
                  <c:v>0.4</c:v>
                </c:pt>
              </c:numCache>
            </c:numRef>
          </c:val>
        </c:ser>
        <c:dLbls>
          <c:showLegendKey val="0"/>
          <c:showVal val="0"/>
          <c:showCatName val="0"/>
          <c:showSerName val="0"/>
          <c:showPercent val="0"/>
          <c:showBubbleSize val="0"/>
        </c:dLbls>
        <c:gapWidth val="50"/>
        <c:overlap val="100"/>
        <c:axId val="528664816"/>
        <c:axId val="528667560"/>
      </c:barChart>
      <c:catAx>
        <c:axId val="528664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667560"/>
        <c:crosses val="autoZero"/>
        <c:auto val="1"/>
        <c:lblAlgn val="ctr"/>
        <c:lblOffset val="100"/>
        <c:noMultiLvlLbl val="0"/>
      </c:catAx>
      <c:valAx>
        <c:axId val="5286675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664816"/>
        <c:crosses val="autoZero"/>
        <c:crossBetween val="between"/>
        <c:majorUnit val="0.25"/>
      </c:valAx>
      <c:spPr>
        <a:noFill/>
        <a:ln>
          <a:noFill/>
        </a:ln>
        <a:effectLst/>
      </c:spPr>
    </c:plotArea>
    <c:legend>
      <c:legendPos val="b"/>
      <c:layout>
        <c:manualLayout>
          <c:xMode val="edge"/>
          <c:yMode val="edge"/>
          <c:x val="0.16410487425662967"/>
          <c:y val="0.88417901091121331"/>
          <c:w val="0.66781045141869111"/>
          <c:h val="0.115822930670251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pivotSource>
    <c:name>[Gaza WASH Assessment_raw data_GVC_edited.xlsx]Pivots!PivotTable99</c:name>
    <c:fmtId val="-1"/>
  </c:pivotSource>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Winter Bathing</a:t>
            </a:r>
            <a:r>
              <a:rPr lang="en-US" sz="1100" baseline="0"/>
              <a:t> Freqeuncy by Quintile</a:t>
            </a:r>
            <a:endParaRPr lang="en-US" sz="1100"/>
          </a:p>
        </c:rich>
      </c:tx>
      <c:layout>
        <c:manualLayout>
          <c:xMode val="edge"/>
          <c:yMode val="edge"/>
          <c:x val="0.14540259579536838"/>
          <c:y val="1.6102896640182419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5"/>
          </a:solidFill>
          <a:ln>
            <a:noFill/>
          </a:ln>
          <a:effectLst/>
        </c:spPr>
        <c:marker>
          <c:symbol val="none"/>
        </c:marker>
      </c:pivotFmt>
      <c:pivotFmt>
        <c:idx val="1"/>
        <c:spPr>
          <a:solidFill>
            <a:schemeClr val="accent5"/>
          </a:solidFill>
          <a:ln>
            <a:noFill/>
          </a:ln>
          <a:effectLst/>
        </c:spPr>
        <c:marker>
          <c:symbol val="none"/>
        </c:marker>
      </c:pivotFmt>
      <c:pivotFmt>
        <c:idx val="2"/>
        <c:spPr>
          <a:solidFill>
            <a:schemeClr val="accent5"/>
          </a:solidFill>
          <a:ln>
            <a:noFill/>
          </a:ln>
          <a:effectLst/>
        </c:spPr>
        <c:marker>
          <c:symbol val="none"/>
        </c:marker>
      </c:pivotFmt>
      <c:pivotFmt>
        <c:idx val="3"/>
        <c:spPr>
          <a:solidFill>
            <a:schemeClr val="accent5"/>
          </a:solidFill>
          <a:ln>
            <a:noFill/>
          </a:ln>
          <a:effectLst/>
        </c:spPr>
        <c:marker>
          <c:symbol val="none"/>
        </c:marker>
      </c:pivotFmt>
      <c:pivotFmt>
        <c:idx val="4"/>
        <c:spPr>
          <a:solidFill>
            <a:schemeClr val="accent5"/>
          </a:solidFill>
          <a:ln>
            <a:noFill/>
          </a:ln>
          <a:effectLst/>
        </c:spPr>
        <c:marker>
          <c:symbol val="none"/>
        </c:marker>
      </c:pivotFmt>
      <c:pivotFmt>
        <c:idx val="5"/>
        <c:spPr>
          <a:solidFill>
            <a:schemeClr val="accent5"/>
          </a:solidFill>
          <a:ln>
            <a:noFill/>
          </a:ln>
          <a:effectLst/>
        </c:spPr>
        <c:marker>
          <c:symbol val="none"/>
        </c:marker>
      </c:pivotFmt>
      <c:pivotFmt>
        <c:idx val="6"/>
        <c:spPr>
          <a:solidFill>
            <a:schemeClr val="accent5"/>
          </a:solidFill>
          <a:ln>
            <a:noFill/>
          </a:ln>
          <a:effectLst/>
        </c:spPr>
        <c:marker>
          <c:symbol val="none"/>
        </c:marker>
      </c:pivotFmt>
      <c:pivotFmt>
        <c:idx val="7"/>
        <c:spPr>
          <a:solidFill>
            <a:schemeClr val="accent5"/>
          </a:solidFill>
          <a:ln>
            <a:noFill/>
          </a:ln>
          <a:effectLst/>
        </c:spPr>
        <c:marker>
          <c:symbol val="none"/>
        </c:marker>
      </c:pivotFmt>
      <c:pivotFmt>
        <c:idx val="8"/>
        <c:spPr>
          <a:solidFill>
            <a:schemeClr val="accent5"/>
          </a:solidFill>
          <a:ln>
            <a:noFill/>
          </a:ln>
          <a:effectLst/>
        </c:spPr>
        <c:marker>
          <c:symbol val="none"/>
        </c:marker>
      </c:pivotFmt>
      <c:pivotFmt>
        <c:idx val="9"/>
        <c:spPr>
          <a:solidFill>
            <a:schemeClr val="accent5"/>
          </a:solidFill>
          <a:ln>
            <a:noFill/>
          </a:ln>
          <a:effectLst/>
        </c:spPr>
        <c:marker>
          <c:symbol val="none"/>
        </c:marker>
      </c:pivotFmt>
      <c:pivotFmt>
        <c:idx val="10"/>
        <c:spPr>
          <a:solidFill>
            <a:schemeClr val="accent5"/>
          </a:solidFill>
          <a:ln>
            <a:noFill/>
          </a:ln>
          <a:effectLst/>
        </c:spPr>
        <c:marker>
          <c:symbol val="none"/>
        </c:marker>
      </c:pivotFmt>
      <c:pivotFmt>
        <c:idx val="11"/>
        <c:spPr>
          <a:solidFill>
            <a:schemeClr val="accent5"/>
          </a:solidFill>
          <a:ln>
            <a:noFill/>
          </a:ln>
          <a:effectLst/>
        </c:spPr>
        <c:marker>
          <c:symbol val="none"/>
        </c:marker>
      </c:pivotFmt>
    </c:pivotFmts>
    <c:plotArea>
      <c:layout>
        <c:manualLayout>
          <c:layoutTarget val="inner"/>
          <c:xMode val="edge"/>
          <c:yMode val="edge"/>
          <c:x val="6.282210512353642E-2"/>
          <c:y val="0.17713365539452497"/>
          <c:w val="0.69981490636794441"/>
          <c:h val="0.66829092015671954"/>
        </c:manualLayout>
      </c:layout>
      <c:barChart>
        <c:barDir val="bar"/>
        <c:grouping val="percentStacked"/>
        <c:varyColors val="0"/>
        <c:ser>
          <c:idx val="0"/>
          <c:order val="0"/>
          <c:tx>
            <c:strRef>
              <c:f>Pivots!$B$13:$B$14</c:f>
              <c:strCache>
                <c:ptCount val="1"/>
                <c:pt idx="0">
                  <c:v>Daily</c:v>
                </c:pt>
              </c:strCache>
            </c:strRef>
          </c:tx>
          <c:spPr>
            <a:solidFill>
              <a:schemeClr val="accent5">
                <a:shade val="58000"/>
              </a:schemeClr>
            </a:solidFill>
            <a:ln>
              <a:noFill/>
            </a:ln>
            <a:effectLst/>
          </c:spPr>
          <c:invertIfNegative val="0"/>
          <c:cat>
            <c:strRef>
              <c:f>Pivots!$A$15:$A$20</c:f>
              <c:strCache>
                <c:ptCount val="5"/>
                <c:pt idx="0">
                  <c:v>1</c:v>
                </c:pt>
                <c:pt idx="1">
                  <c:v>2</c:v>
                </c:pt>
                <c:pt idx="2">
                  <c:v>3</c:v>
                </c:pt>
                <c:pt idx="3">
                  <c:v>4</c:v>
                </c:pt>
                <c:pt idx="4">
                  <c:v>5</c:v>
                </c:pt>
              </c:strCache>
            </c:strRef>
          </c:cat>
          <c:val>
            <c:numRef>
              <c:f>Pivots!$B$15:$B$20</c:f>
              <c:numCache>
                <c:formatCode>0.00%</c:formatCode>
                <c:ptCount val="5"/>
                <c:pt idx="0">
                  <c:v>3.7796976241900648E-2</c:v>
                </c:pt>
                <c:pt idx="1">
                  <c:v>2.9090909090909091E-2</c:v>
                </c:pt>
                <c:pt idx="2">
                  <c:v>4.046242774566474E-2</c:v>
                </c:pt>
                <c:pt idx="3">
                  <c:v>5.2932761087267528E-2</c:v>
                </c:pt>
                <c:pt idx="4">
                  <c:v>8.0321285140562249E-2</c:v>
                </c:pt>
              </c:numCache>
            </c:numRef>
          </c:val>
        </c:ser>
        <c:ser>
          <c:idx val="1"/>
          <c:order val="1"/>
          <c:tx>
            <c:strRef>
              <c:f>Pivots!$C$13:$C$14</c:f>
              <c:strCache>
                <c:ptCount val="1"/>
                <c:pt idx="0">
                  <c:v>≥4</c:v>
                </c:pt>
              </c:strCache>
            </c:strRef>
          </c:tx>
          <c:spPr>
            <a:solidFill>
              <a:schemeClr val="accent5">
                <a:shade val="86000"/>
              </a:schemeClr>
            </a:solidFill>
            <a:ln>
              <a:noFill/>
            </a:ln>
            <a:effectLst/>
          </c:spPr>
          <c:invertIfNegative val="0"/>
          <c:cat>
            <c:strRef>
              <c:f>Pivots!$A$15:$A$20</c:f>
              <c:strCache>
                <c:ptCount val="5"/>
                <c:pt idx="0">
                  <c:v>1</c:v>
                </c:pt>
                <c:pt idx="1">
                  <c:v>2</c:v>
                </c:pt>
                <c:pt idx="2">
                  <c:v>3</c:v>
                </c:pt>
                <c:pt idx="3">
                  <c:v>4</c:v>
                </c:pt>
                <c:pt idx="4">
                  <c:v>5</c:v>
                </c:pt>
              </c:strCache>
            </c:strRef>
          </c:cat>
          <c:val>
            <c:numRef>
              <c:f>Pivots!$C$15:$C$20</c:f>
              <c:numCache>
                <c:formatCode>0.00%</c:formatCode>
                <c:ptCount val="5"/>
                <c:pt idx="0">
                  <c:v>0.45356371490280778</c:v>
                </c:pt>
                <c:pt idx="1">
                  <c:v>0.5127272727272727</c:v>
                </c:pt>
                <c:pt idx="2">
                  <c:v>0.48362235067437381</c:v>
                </c:pt>
                <c:pt idx="3">
                  <c:v>0.5665236051502146</c:v>
                </c:pt>
                <c:pt idx="4">
                  <c:v>0.59303882195448465</c:v>
                </c:pt>
              </c:numCache>
            </c:numRef>
          </c:val>
        </c:ser>
        <c:ser>
          <c:idx val="2"/>
          <c:order val="2"/>
          <c:tx>
            <c:strRef>
              <c:f>Pivots!$D$13:$D$14</c:f>
              <c:strCache>
                <c:ptCount val="1"/>
                <c:pt idx="0">
                  <c:v>1 / week</c:v>
                </c:pt>
              </c:strCache>
            </c:strRef>
          </c:tx>
          <c:spPr>
            <a:solidFill>
              <a:schemeClr val="accent6">
                <a:lumMod val="20000"/>
                <a:lumOff val="80000"/>
              </a:schemeClr>
            </a:solidFill>
            <a:ln>
              <a:noFill/>
            </a:ln>
            <a:effectLst/>
          </c:spPr>
          <c:invertIfNegative val="0"/>
          <c:cat>
            <c:strRef>
              <c:f>Pivots!$A$15:$A$20</c:f>
              <c:strCache>
                <c:ptCount val="5"/>
                <c:pt idx="0">
                  <c:v>1</c:v>
                </c:pt>
                <c:pt idx="1">
                  <c:v>2</c:v>
                </c:pt>
                <c:pt idx="2">
                  <c:v>3</c:v>
                </c:pt>
                <c:pt idx="3">
                  <c:v>4</c:v>
                </c:pt>
                <c:pt idx="4">
                  <c:v>5</c:v>
                </c:pt>
              </c:strCache>
            </c:strRef>
          </c:cat>
          <c:val>
            <c:numRef>
              <c:f>Pivots!$D$15:$D$20</c:f>
              <c:numCache>
                <c:formatCode>0.00%</c:formatCode>
                <c:ptCount val="5"/>
                <c:pt idx="0">
                  <c:v>0.48596112311015116</c:v>
                </c:pt>
                <c:pt idx="1">
                  <c:v>0.42909090909090908</c:v>
                </c:pt>
                <c:pt idx="2">
                  <c:v>0.46820809248554912</c:v>
                </c:pt>
                <c:pt idx="3">
                  <c:v>0.37911301859799712</c:v>
                </c:pt>
                <c:pt idx="4">
                  <c:v>0.32262382864792505</c:v>
                </c:pt>
              </c:numCache>
            </c:numRef>
          </c:val>
        </c:ser>
        <c:ser>
          <c:idx val="3"/>
          <c:order val="3"/>
          <c:tx>
            <c:strRef>
              <c:f>Pivots!$E$13:$E$14</c:f>
              <c:strCache>
                <c:ptCount val="1"/>
                <c:pt idx="0">
                  <c:v>Less often</c:v>
                </c:pt>
              </c:strCache>
            </c:strRef>
          </c:tx>
          <c:spPr>
            <a:solidFill>
              <a:schemeClr val="accent6">
                <a:lumMod val="60000"/>
                <a:lumOff val="40000"/>
              </a:schemeClr>
            </a:solidFill>
            <a:ln>
              <a:noFill/>
            </a:ln>
            <a:effectLst/>
          </c:spPr>
          <c:invertIfNegative val="0"/>
          <c:cat>
            <c:strRef>
              <c:f>Pivots!$A$15:$A$20</c:f>
              <c:strCache>
                <c:ptCount val="5"/>
                <c:pt idx="0">
                  <c:v>1</c:v>
                </c:pt>
                <c:pt idx="1">
                  <c:v>2</c:v>
                </c:pt>
                <c:pt idx="2">
                  <c:v>3</c:v>
                </c:pt>
                <c:pt idx="3">
                  <c:v>4</c:v>
                </c:pt>
                <c:pt idx="4">
                  <c:v>5</c:v>
                </c:pt>
              </c:strCache>
            </c:strRef>
          </c:cat>
          <c:val>
            <c:numRef>
              <c:f>Pivots!$E$15:$E$20</c:f>
              <c:numCache>
                <c:formatCode>0.00%</c:formatCode>
                <c:ptCount val="5"/>
                <c:pt idx="0">
                  <c:v>2.267818574514039E-2</c:v>
                </c:pt>
                <c:pt idx="1">
                  <c:v>2.9090909090909091E-2</c:v>
                </c:pt>
                <c:pt idx="2">
                  <c:v>7.7071290944123313E-3</c:v>
                </c:pt>
                <c:pt idx="3">
                  <c:v>1.4306151645207439E-3</c:v>
                </c:pt>
                <c:pt idx="4">
                  <c:v>4.0160642570281121E-3</c:v>
                </c:pt>
              </c:numCache>
            </c:numRef>
          </c:val>
        </c:ser>
        <c:dLbls>
          <c:showLegendKey val="0"/>
          <c:showVal val="0"/>
          <c:showCatName val="0"/>
          <c:showSerName val="0"/>
          <c:showPercent val="0"/>
          <c:showBubbleSize val="0"/>
        </c:dLbls>
        <c:gapWidth val="50"/>
        <c:overlap val="100"/>
        <c:axId val="530044896"/>
        <c:axId val="530046464"/>
      </c:barChart>
      <c:catAx>
        <c:axId val="530044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46464"/>
        <c:crosses val="autoZero"/>
        <c:auto val="1"/>
        <c:lblAlgn val="ctr"/>
        <c:lblOffset val="100"/>
        <c:noMultiLvlLbl val="0"/>
      </c:catAx>
      <c:valAx>
        <c:axId val="5300464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44896"/>
        <c:crosses val="autoZero"/>
        <c:crossBetween val="between"/>
        <c:majorUnit val="0.2"/>
      </c:valAx>
      <c:spPr>
        <a:noFill/>
        <a:ln>
          <a:noFill/>
        </a:ln>
        <a:effectLst/>
      </c:spPr>
    </c:plotArea>
    <c:legend>
      <c:legendPos val="r"/>
      <c:layout>
        <c:manualLayout>
          <c:xMode val="edge"/>
          <c:yMode val="edge"/>
          <c:x val="0.79731342923635307"/>
          <c:y val="0.27829890828863785"/>
          <c:w val="0.20268657076364688"/>
          <c:h val="0.54348206474190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Heating</a:t>
            </a:r>
            <a:r>
              <a:rPr lang="en-US" sz="1100" baseline="0"/>
              <a:t> Method by Income Quintile</a:t>
            </a:r>
            <a:endParaRPr lang="en-US" sz="1100"/>
          </a:p>
        </c:rich>
      </c:tx>
      <c:layout>
        <c:manualLayout>
          <c:xMode val="edge"/>
          <c:yMode val="edge"/>
          <c:x val="0.1892996108949416"/>
          <c:y val="8.9847259658580418E-3"/>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677168356242927"/>
          <c:y val="0.18250737525733812"/>
          <c:w val="0.65938442788055995"/>
          <c:h val="0.65398617625626976"/>
        </c:manualLayout>
      </c:layout>
      <c:barChart>
        <c:barDir val="bar"/>
        <c:grouping val="stacked"/>
        <c:varyColors val="0"/>
        <c:ser>
          <c:idx val="0"/>
          <c:order val="0"/>
          <c:tx>
            <c:strRef>
              <c:f>Heating!$B$22</c:f>
              <c:strCache>
                <c:ptCount val="1"/>
                <c:pt idx="0">
                  <c:v>Electric</c:v>
                </c:pt>
              </c:strCache>
            </c:strRef>
          </c:tx>
          <c:spPr>
            <a:solidFill>
              <a:schemeClr val="accent1"/>
            </a:solidFill>
            <a:ln>
              <a:noFill/>
            </a:ln>
            <a:effectLst/>
          </c:spPr>
          <c:invertIfNegative val="0"/>
          <c:cat>
            <c:strRef>
              <c:f>Heating!$A$23:$A$28</c:f>
              <c:strCache>
                <c:ptCount val="5"/>
                <c:pt idx="0">
                  <c:v>1</c:v>
                </c:pt>
                <c:pt idx="1">
                  <c:v>2</c:v>
                </c:pt>
                <c:pt idx="2">
                  <c:v>3</c:v>
                </c:pt>
                <c:pt idx="3">
                  <c:v>4</c:v>
                </c:pt>
                <c:pt idx="4">
                  <c:v>5</c:v>
                </c:pt>
              </c:strCache>
              <c:extLst/>
            </c:strRef>
          </c:cat>
          <c:val>
            <c:numRef>
              <c:f>Heating!$B$23:$B$28</c:f>
              <c:numCache>
                <c:formatCode>0%</c:formatCode>
                <c:ptCount val="5"/>
                <c:pt idx="0">
                  <c:v>0.5399568034557235</c:v>
                </c:pt>
                <c:pt idx="1">
                  <c:v>0.59272727272727277</c:v>
                </c:pt>
                <c:pt idx="2">
                  <c:v>0.59152215799614638</c:v>
                </c:pt>
                <c:pt idx="3">
                  <c:v>0.63805436337625177</c:v>
                </c:pt>
                <c:pt idx="4">
                  <c:v>0.71084337349397586</c:v>
                </c:pt>
              </c:numCache>
              <c:extLst/>
            </c:numRef>
          </c:val>
        </c:ser>
        <c:ser>
          <c:idx val="1"/>
          <c:order val="1"/>
          <c:tx>
            <c:strRef>
              <c:f>Heating!$C$22</c:f>
              <c:strCache>
                <c:ptCount val="1"/>
                <c:pt idx="0">
                  <c:v>Gas</c:v>
                </c:pt>
              </c:strCache>
            </c:strRef>
          </c:tx>
          <c:spPr>
            <a:solidFill>
              <a:schemeClr val="accent2"/>
            </a:solidFill>
            <a:ln>
              <a:noFill/>
            </a:ln>
            <a:effectLst/>
          </c:spPr>
          <c:invertIfNegative val="0"/>
          <c:cat>
            <c:strRef>
              <c:f>Heating!$A$23:$A$28</c:f>
              <c:strCache>
                <c:ptCount val="5"/>
                <c:pt idx="0">
                  <c:v>1</c:v>
                </c:pt>
                <c:pt idx="1">
                  <c:v>2</c:v>
                </c:pt>
                <c:pt idx="2">
                  <c:v>3</c:v>
                </c:pt>
                <c:pt idx="3">
                  <c:v>4</c:v>
                </c:pt>
                <c:pt idx="4">
                  <c:v>5</c:v>
                </c:pt>
              </c:strCache>
              <c:extLst/>
            </c:strRef>
          </c:cat>
          <c:val>
            <c:numRef>
              <c:f>Heating!$C$23:$C$28</c:f>
              <c:numCache>
                <c:formatCode>0%</c:formatCode>
                <c:ptCount val="5"/>
                <c:pt idx="0">
                  <c:v>0.37688984881209503</c:v>
                </c:pt>
                <c:pt idx="1">
                  <c:v>0.39636363636363636</c:v>
                </c:pt>
                <c:pt idx="2">
                  <c:v>0.36608863198458574</c:v>
                </c:pt>
                <c:pt idx="3">
                  <c:v>0.35193133047210301</c:v>
                </c:pt>
                <c:pt idx="4">
                  <c:v>0.22356091030789826</c:v>
                </c:pt>
              </c:numCache>
              <c:extLst/>
            </c:numRef>
          </c:val>
        </c:ser>
        <c:ser>
          <c:idx val="2"/>
          <c:order val="2"/>
          <c:tx>
            <c:strRef>
              <c:f>Heating!$D$22</c:f>
              <c:strCache>
                <c:ptCount val="1"/>
                <c:pt idx="0">
                  <c:v>Solar</c:v>
                </c:pt>
              </c:strCache>
            </c:strRef>
          </c:tx>
          <c:spPr>
            <a:solidFill>
              <a:schemeClr val="accent3"/>
            </a:solidFill>
            <a:ln>
              <a:noFill/>
            </a:ln>
            <a:effectLst/>
          </c:spPr>
          <c:invertIfNegative val="0"/>
          <c:cat>
            <c:strRef>
              <c:f>Heating!$A$23:$A$28</c:f>
              <c:strCache>
                <c:ptCount val="5"/>
                <c:pt idx="0">
                  <c:v>1</c:v>
                </c:pt>
                <c:pt idx="1">
                  <c:v>2</c:v>
                </c:pt>
                <c:pt idx="2">
                  <c:v>3</c:v>
                </c:pt>
                <c:pt idx="3">
                  <c:v>4</c:v>
                </c:pt>
                <c:pt idx="4">
                  <c:v>5</c:v>
                </c:pt>
              </c:strCache>
              <c:extLst/>
            </c:strRef>
          </c:cat>
          <c:val>
            <c:numRef>
              <c:f>Heating!$D$23:$D$28</c:f>
              <c:numCache>
                <c:formatCode>0%</c:formatCode>
                <c:ptCount val="5"/>
                <c:pt idx="0">
                  <c:v>0.19006479481641469</c:v>
                </c:pt>
                <c:pt idx="1">
                  <c:v>0.2</c:v>
                </c:pt>
                <c:pt idx="2">
                  <c:v>0.25818882466281312</c:v>
                </c:pt>
                <c:pt idx="3">
                  <c:v>0.33190271816881262</c:v>
                </c:pt>
                <c:pt idx="4">
                  <c:v>0.46586345381526106</c:v>
                </c:pt>
              </c:numCache>
              <c:extLst/>
            </c:numRef>
          </c:val>
        </c:ser>
        <c:ser>
          <c:idx val="3"/>
          <c:order val="3"/>
          <c:tx>
            <c:strRef>
              <c:f>Heating!$E$22</c:f>
              <c:strCache>
                <c:ptCount val="1"/>
                <c:pt idx="0">
                  <c:v>Wood</c:v>
                </c:pt>
              </c:strCache>
            </c:strRef>
          </c:tx>
          <c:spPr>
            <a:solidFill>
              <a:schemeClr val="accent4"/>
            </a:solidFill>
            <a:ln>
              <a:noFill/>
            </a:ln>
            <a:effectLst/>
          </c:spPr>
          <c:invertIfNegative val="0"/>
          <c:cat>
            <c:strRef>
              <c:f>Heating!$A$23:$A$28</c:f>
              <c:strCache>
                <c:ptCount val="5"/>
                <c:pt idx="0">
                  <c:v>1</c:v>
                </c:pt>
                <c:pt idx="1">
                  <c:v>2</c:v>
                </c:pt>
                <c:pt idx="2">
                  <c:v>3</c:v>
                </c:pt>
                <c:pt idx="3">
                  <c:v>4</c:v>
                </c:pt>
                <c:pt idx="4">
                  <c:v>5</c:v>
                </c:pt>
              </c:strCache>
              <c:extLst/>
            </c:strRef>
          </c:cat>
          <c:val>
            <c:numRef>
              <c:f>Heating!$E$23:$E$28</c:f>
              <c:numCache>
                <c:formatCode>0%</c:formatCode>
                <c:ptCount val="5"/>
                <c:pt idx="0">
                  <c:v>0.22894168466522677</c:v>
                </c:pt>
                <c:pt idx="1">
                  <c:v>0.25090909090909091</c:v>
                </c:pt>
                <c:pt idx="2">
                  <c:v>0.19267822736030829</c:v>
                </c:pt>
                <c:pt idx="3">
                  <c:v>9.4420600858369105E-2</c:v>
                </c:pt>
                <c:pt idx="4">
                  <c:v>4.5515394912985271E-2</c:v>
                </c:pt>
              </c:numCache>
              <c:extLst/>
            </c:numRef>
          </c:val>
        </c:ser>
        <c:ser>
          <c:idx val="4"/>
          <c:order val="4"/>
          <c:tx>
            <c:strRef>
              <c:f>Heating!$F$22</c:f>
              <c:strCache>
                <c:ptCount val="1"/>
                <c:pt idx="0">
                  <c:v>Other</c:v>
                </c:pt>
              </c:strCache>
            </c:strRef>
          </c:tx>
          <c:spPr>
            <a:solidFill>
              <a:schemeClr val="accent5"/>
            </a:solidFill>
            <a:ln>
              <a:noFill/>
            </a:ln>
            <a:effectLst/>
          </c:spPr>
          <c:invertIfNegative val="0"/>
          <c:cat>
            <c:strRef>
              <c:f>Heating!$A$23:$A$28</c:f>
              <c:strCache>
                <c:ptCount val="5"/>
                <c:pt idx="0">
                  <c:v>1</c:v>
                </c:pt>
                <c:pt idx="1">
                  <c:v>2</c:v>
                </c:pt>
                <c:pt idx="2">
                  <c:v>3</c:v>
                </c:pt>
                <c:pt idx="3">
                  <c:v>4</c:v>
                </c:pt>
                <c:pt idx="4">
                  <c:v>5</c:v>
                </c:pt>
              </c:strCache>
              <c:extLst/>
            </c:strRef>
          </c:cat>
          <c:val>
            <c:numRef>
              <c:f>Heating!$F$23:$F$28</c:f>
              <c:numCache>
                <c:formatCode>0%</c:formatCode>
                <c:ptCount val="5"/>
                <c:pt idx="0">
                  <c:v>7.5593952483801298E-3</c:v>
                </c:pt>
                <c:pt idx="1">
                  <c:v>0</c:v>
                </c:pt>
                <c:pt idx="2">
                  <c:v>1.9267822736030828E-3</c:v>
                </c:pt>
                <c:pt idx="3">
                  <c:v>1.4306151645207439E-3</c:v>
                </c:pt>
                <c:pt idx="4">
                  <c:v>4.0160642570281121E-3</c:v>
                </c:pt>
              </c:numCache>
              <c:extLst/>
            </c:numRef>
          </c:val>
        </c:ser>
        <c:dLbls>
          <c:showLegendKey val="0"/>
          <c:showVal val="0"/>
          <c:showCatName val="0"/>
          <c:showSerName val="0"/>
          <c:showPercent val="0"/>
          <c:showBubbleSize val="0"/>
        </c:dLbls>
        <c:gapWidth val="50"/>
        <c:overlap val="100"/>
        <c:axId val="530048816"/>
        <c:axId val="530051952"/>
      </c:barChart>
      <c:catAx>
        <c:axId val="530048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51952"/>
        <c:crosses val="autoZero"/>
        <c:auto val="1"/>
        <c:lblAlgn val="ctr"/>
        <c:lblOffset val="100"/>
        <c:noMultiLvlLbl val="0"/>
      </c:catAx>
      <c:valAx>
        <c:axId val="530051952"/>
        <c:scaling>
          <c:orientation val="minMax"/>
          <c:max val="1.5"/>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48816"/>
        <c:crosses val="autoZero"/>
        <c:crossBetween val="between"/>
        <c:majorUnit val="0.2"/>
      </c:valAx>
      <c:spPr>
        <a:noFill/>
        <a:ln>
          <a:noFill/>
        </a:ln>
        <a:effectLst/>
      </c:spPr>
    </c:plotArea>
    <c:legend>
      <c:legendPos val="r"/>
      <c:layout>
        <c:manualLayout>
          <c:xMode val="edge"/>
          <c:yMode val="edge"/>
          <c:x val="0.81449953620456217"/>
          <c:y val="0.24361836845865964"/>
          <c:w val="0.16597965623946812"/>
          <c:h val="0.60647324744784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a:t>Handwashing before cooking</a:t>
            </a:r>
          </a:p>
        </c:rich>
      </c:tx>
      <c:layout>
        <c:manualLayout>
          <c:xMode val="edge"/>
          <c:yMode val="edge"/>
          <c:x val="0.25817670339368698"/>
          <c:y val="7.615809387462931E-3"/>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HandWash!$S$2</c:f>
              <c:strCache>
                <c:ptCount val="1"/>
                <c:pt idx="0">
                  <c:v>Yes</c:v>
                </c:pt>
              </c:strCache>
            </c:strRef>
          </c:tx>
          <c:spPr>
            <a:solidFill>
              <a:schemeClr val="accent5">
                <a:lumMod val="60000"/>
                <a:lumOff val="40000"/>
              </a:schemeClr>
            </a:solidFill>
            <a:ln>
              <a:noFill/>
            </a:ln>
            <a:effectLst/>
          </c:spPr>
          <c:invertIfNegative val="0"/>
          <c:cat>
            <c:multiLvlStrRef>
              <c:f>HandWash!$Q$3:$R$14</c:f>
              <c:multiLvlStrCache>
                <c:ptCount val="12"/>
                <c:lvl>
                  <c:pt idx="0">
                    <c:v>2010</c:v>
                  </c:pt>
                  <c:pt idx="1">
                    <c:v>2015</c:v>
                  </c:pt>
                  <c:pt idx="2">
                    <c:v>2010</c:v>
                  </c:pt>
                  <c:pt idx="3">
                    <c:v>2015</c:v>
                  </c:pt>
                  <c:pt idx="4">
                    <c:v>2010</c:v>
                  </c:pt>
                  <c:pt idx="5">
                    <c:v>2015</c:v>
                  </c:pt>
                  <c:pt idx="6">
                    <c:v>2010</c:v>
                  </c:pt>
                  <c:pt idx="7">
                    <c:v>2015</c:v>
                  </c:pt>
                  <c:pt idx="8">
                    <c:v>2010</c:v>
                  </c:pt>
                  <c:pt idx="9">
                    <c:v>2015</c:v>
                  </c:pt>
                  <c:pt idx="10">
                    <c:v>2010</c:v>
                  </c:pt>
                  <c:pt idx="11">
                    <c:v>2015</c:v>
                  </c:pt>
                </c:lvl>
                <c:lvl>
                  <c:pt idx="0">
                    <c:v>North Gaza</c:v>
                  </c:pt>
                  <c:pt idx="2">
                    <c:v>Gaza</c:v>
                  </c:pt>
                  <c:pt idx="4">
                    <c:v>Deir al-Balah</c:v>
                  </c:pt>
                  <c:pt idx="6">
                    <c:v>Khan Yunis</c:v>
                  </c:pt>
                  <c:pt idx="8">
                    <c:v>Rafah</c:v>
                  </c:pt>
                  <c:pt idx="10">
                    <c:v>Average</c:v>
                  </c:pt>
                </c:lvl>
              </c:multiLvlStrCache>
            </c:multiLvlStrRef>
          </c:cat>
          <c:val>
            <c:numRef>
              <c:f>HandWash!$S$3:$S$14</c:f>
              <c:numCache>
                <c:formatCode>0%</c:formatCode>
                <c:ptCount val="12"/>
                <c:pt idx="0">
                  <c:v>0.25800000000000001</c:v>
                </c:pt>
                <c:pt idx="1">
                  <c:v>0.76331360946745563</c:v>
                </c:pt>
                <c:pt idx="2">
                  <c:v>0.55700000000000005</c:v>
                </c:pt>
                <c:pt idx="3">
                  <c:v>0.75827814569536423</c:v>
                </c:pt>
                <c:pt idx="4">
                  <c:v>0.39500000000000002</c:v>
                </c:pt>
                <c:pt idx="5">
                  <c:v>0.5552995391705069</c:v>
                </c:pt>
                <c:pt idx="6">
                  <c:v>0.48199999999999998</c:v>
                </c:pt>
                <c:pt idx="7">
                  <c:v>0.81199351701782818</c:v>
                </c:pt>
                <c:pt idx="8">
                  <c:v>0.54200000000000004</c:v>
                </c:pt>
                <c:pt idx="9">
                  <c:v>0.54409005628517826</c:v>
                </c:pt>
                <c:pt idx="10">
                  <c:v>0.44700000000000001</c:v>
                </c:pt>
                <c:pt idx="11">
                  <c:v>0.70593809222994319</c:v>
                </c:pt>
              </c:numCache>
            </c:numRef>
          </c:val>
        </c:ser>
        <c:ser>
          <c:idx val="1"/>
          <c:order val="1"/>
          <c:tx>
            <c:strRef>
              <c:f>HandWash!$T$2</c:f>
              <c:strCache>
                <c:ptCount val="1"/>
                <c:pt idx="0">
                  <c:v>No</c:v>
                </c:pt>
              </c:strCache>
            </c:strRef>
          </c:tx>
          <c:spPr>
            <a:solidFill>
              <a:schemeClr val="accent6">
                <a:lumMod val="75000"/>
              </a:schemeClr>
            </a:solidFill>
            <a:ln>
              <a:noFill/>
            </a:ln>
            <a:effectLst/>
          </c:spPr>
          <c:invertIfNegative val="0"/>
          <c:cat>
            <c:multiLvlStrRef>
              <c:f>HandWash!$Q$3:$R$14</c:f>
              <c:multiLvlStrCache>
                <c:ptCount val="12"/>
                <c:lvl>
                  <c:pt idx="0">
                    <c:v>2010</c:v>
                  </c:pt>
                  <c:pt idx="1">
                    <c:v>2015</c:v>
                  </c:pt>
                  <c:pt idx="2">
                    <c:v>2010</c:v>
                  </c:pt>
                  <c:pt idx="3">
                    <c:v>2015</c:v>
                  </c:pt>
                  <c:pt idx="4">
                    <c:v>2010</c:v>
                  </c:pt>
                  <c:pt idx="5">
                    <c:v>2015</c:v>
                  </c:pt>
                  <c:pt idx="6">
                    <c:v>2010</c:v>
                  </c:pt>
                  <c:pt idx="7">
                    <c:v>2015</c:v>
                  </c:pt>
                  <c:pt idx="8">
                    <c:v>2010</c:v>
                  </c:pt>
                  <c:pt idx="9">
                    <c:v>2015</c:v>
                  </c:pt>
                  <c:pt idx="10">
                    <c:v>2010</c:v>
                  </c:pt>
                  <c:pt idx="11">
                    <c:v>2015</c:v>
                  </c:pt>
                </c:lvl>
                <c:lvl>
                  <c:pt idx="0">
                    <c:v>North Gaza</c:v>
                  </c:pt>
                  <c:pt idx="2">
                    <c:v>Gaza</c:v>
                  </c:pt>
                  <c:pt idx="4">
                    <c:v>Deir al-Balah</c:v>
                  </c:pt>
                  <c:pt idx="6">
                    <c:v>Khan Yunis</c:v>
                  </c:pt>
                  <c:pt idx="8">
                    <c:v>Rafah</c:v>
                  </c:pt>
                  <c:pt idx="10">
                    <c:v>Average</c:v>
                  </c:pt>
                </c:lvl>
              </c:multiLvlStrCache>
            </c:multiLvlStrRef>
          </c:cat>
          <c:val>
            <c:numRef>
              <c:f>HandWash!$T$3:$T$14</c:f>
              <c:numCache>
                <c:formatCode>0%</c:formatCode>
                <c:ptCount val="12"/>
                <c:pt idx="0">
                  <c:v>0.74199999999999999</c:v>
                </c:pt>
                <c:pt idx="1">
                  <c:v>0.23668639053254437</c:v>
                </c:pt>
                <c:pt idx="2">
                  <c:v>0.44299999999999995</c:v>
                </c:pt>
                <c:pt idx="3">
                  <c:v>0.24172185430463577</c:v>
                </c:pt>
                <c:pt idx="4">
                  <c:v>0.60499999999999998</c:v>
                </c:pt>
                <c:pt idx="5">
                  <c:v>0.4447004608294931</c:v>
                </c:pt>
                <c:pt idx="6">
                  <c:v>0.51800000000000002</c:v>
                </c:pt>
                <c:pt idx="7">
                  <c:v>0.18800648298217182</c:v>
                </c:pt>
                <c:pt idx="8">
                  <c:v>0.45799999999999996</c:v>
                </c:pt>
                <c:pt idx="9">
                  <c:v>0.45590994371482174</c:v>
                </c:pt>
                <c:pt idx="10">
                  <c:v>0.55299999999999994</c:v>
                </c:pt>
                <c:pt idx="11">
                  <c:v>0.29406190777005681</c:v>
                </c:pt>
              </c:numCache>
            </c:numRef>
          </c:val>
        </c:ser>
        <c:dLbls>
          <c:showLegendKey val="0"/>
          <c:showVal val="0"/>
          <c:showCatName val="0"/>
          <c:showSerName val="0"/>
          <c:showPercent val="0"/>
          <c:showBubbleSize val="0"/>
        </c:dLbls>
        <c:gapWidth val="80"/>
        <c:overlap val="100"/>
        <c:axId val="530054696"/>
        <c:axId val="530055480"/>
      </c:barChart>
      <c:catAx>
        <c:axId val="530054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55480"/>
        <c:crosses val="autoZero"/>
        <c:auto val="1"/>
        <c:lblAlgn val="ctr"/>
        <c:lblOffset val="100"/>
        <c:noMultiLvlLbl val="0"/>
      </c:catAx>
      <c:valAx>
        <c:axId val="530055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54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a:t>Handwashing before eating</a:t>
            </a:r>
          </a:p>
        </c:rich>
      </c:tx>
      <c:layout>
        <c:manualLayout>
          <c:xMode val="edge"/>
          <c:yMode val="edge"/>
          <c:x val="0.30094123651210264"/>
          <c:y val="1.9512195121951219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HandWash!$M$2</c:f>
              <c:strCache>
                <c:ptCount val="1"/>
                <c:pt idx="0">
                  <c:v>Yes</c:v>
                </c:pt>
              </c:strCache>
            </c:strRef>
          </c:tx>
          <c:spPr>
            <a:solidFill>
              <a:schemeClr val="accent5">
                <a:lumMod val="60000"/>
                <a:lumOff val="40000"/>
              </a:schemeClr>
            </a:solidFill>
            <a:ln>
              <a:noFill/>
            </a:ln>
            <a:effectLst/>
          </c:spPr>
          <c:invertIfNegative val="0"/>
          <c:cat>
            <c:multiLvlStrRef>
              <c:f>HandWash!$K$3:$L$14</c:f>
              <c:multiLvlStrCache>
                <c:ptCount val="12"/>
                <c:lvl>
                  <c:pt idx="0">
                    <c:v>2010</c:v>
                  </c:pt>
                  <c:pt idx="1">
                    <c:v>2015</c:v>
                  </c:pt>
                  <c:pt idx="2">
                    <c:v>2010</c:v>
                  </c:pt>
                  <c:pt idx="3">
                    <c:v>2015</c:v>
                  </c:pt>
                  <c:pt idx="4">
                    <c:v>2010</c:v>
                  </c:pt>
                  <c:pt idx="5">
                    <c:v>2015</c:v>
                  </c:pt>
                  <c:pt idx="6">
                    <c:v>2010</c:v>
                  </c:pt>
                  <c:pt idx="7">
                    <c:v>2015</c:v>
                  </c:pt>
                  <c:pt idx="8">
                    <c:v>2010</c:v>
                  </c:pt>
                  <c:pt idx="9">
                    <c:v>2015</c:v>
                  </c:pt>
                  <c:pt idx="10">
                    <c:v>2010</c:v>
                  </c:pt>
                  <c:pt idx="11">
                    <c:v>2015</c:v>
                  </c:pt>
                </c:lvl>
                <c:lvl>
                  <c:pt idx="0">
                    <c:v>North Gaza</c:v>
                  </c:pt>
                  <c:pt idx="2">
                    <c:v>Gaza</c:v>
                  </c:pt>
                  <c:pt idx="4">
                    <c:v>Deir al-Balah</c:v>
                  </c:pt>
                  <c:pt idx="6">
                    <c:v>Khan Yunis</c:v>
                  </c:pt>
                  <c:pt idx="8">
                    <c:v>Rafah</c:v>
                  </c:pt>
                  <c:pt idx="10">
                    <c:v>Average</c:v>
                  </c:pt>
                </c:lvl>
              </c:multiLvlStrCache>
            </c:multiLvlStrRef>
          </c:cat>
          <c:val>
            <c:numRef>
              <c:f>HandWash!$M$3:$M$14</c:f>
              <c:numCache>
                <c:formatCode>0%</c:formatCode>
                <c:ptCount val="12"/>
                <c:pt idx="0">
                  <c:v>0.65700000000000003</c:v>
                </c:pt>
                <c:pt idx="1">
                  <c:v>0.92011834319526631</c:v>
                </c:pt>
                <c:pt idx="2">
                  <c:v>0.58799999999999997</c:v>
                </c:pt>
                <c:pt idx="3">
                  <c:v>0.89735099337748347</c:v>
                </c:pt>
                <c:pt idx="4">
                  <c:v>0.65300000000000002</c:v>
                </c:pt>
                <c:pt idx="5">
                  <c:v>0.86175115207373276</c:v>
                </c:pt>
                <c:pt idx="6">
                  <c:v>0.70099999999999996</c:v>
                </c:pt>
                <c:pt idx="7">
                  <c:v>0.92868719611021067</c:v>
                </c:pt>
                <c:pt idx="8">
                  <c:v>0.64</c:v>
                </c:pt>
                <c:pt idx="9">
                  <c:v>0.96998123827392124</c:v>
                </c:pt>
                <c:pt idx="10">
                  <c:v>0.64800000000000002</c:v>
                </c:pt>
                <c:pt idx="11">
                  <c:v>0.91566645609602026</c:v>
                </c:pt>
              </c:numCache>
            </c:numRef>
          </c:val>
        </c:ser>
        <c:ser>
          <c:idx val="1"/>
          <c:order val="1"/>
          <c:tx>
            <c:strRef>
              <c:f>HandWash!$N$2</c:f>
              <c:strCache>
                <c:ptCount val="1"/>
                <c:pt idx="0">
                  <c:v>No</c:v>
                </c:pt>
              </c:strCache>
            </c:strRef>
          </c:tx>
          <c:spPr>
            <a:solidFill>
              <a:schemeClr val="accent6">
                <a:lumMod val="75000"/>
              </a:schemeClr>
            </a:solidFill>
            <a:ln>
              <a:noFill/>
            </a:ln>
            <a:effectLst/>
          </c:spPr>
          <c:invertIfNegative val="0"/>
          <c:cat>
            <c:multiLvlStrRef>
              <c:f>HandWash!$K$3:$L$14</c:f>
              <c:multiLvlStrCache>
                <c:ptCount val="12"/>
                <c:lvl>
                  <c:pt idx="0">
                    <c:v>2010</c:v>
                  </c:pt>
                  <c:pt idx="1">
                    <c:v>2015</c:v>
                  </c:pt>
                  <c:pt idx="2">
                    <c:v>2010</c:v>
                  </c:pt>
                  <c:pt idx="3">
                    <c:v>2015</c:v>
                  </c:pt>
                  <c:pt idx="4">
                    <c:v>2010</c:v>
                  </c:pt>
                  <c:pt idx="5">
                    <c:v>2015</c:v>
                  </c:pt>
                  <c:pt idx="6">
                    <c:v>2010</c:v>
                  </c:pt>
                  <c:pt idx="7">
                    <c:v>2015</c:v>
                  </c:pt>
                  <c:pt idx="8">
                    <c:v>2010</c:v>
                  </c:pt>
                  <c:pt idx="9">
                    <c:v>2015</c:v>
                  </c:pt>
                  <c:pt idx="10">
                    <c:v>2010</c:v>
                  </c:pt>
                  <c:pt idx="11">
                    <c:v>2015</c:v>
                  </c:pt>
                </c:lvl>
                <c:lvl>
                  <c:pt idx="0">
                    <c:v>North Gaza</c:v>
                  </c:pt>
                  <c:pt idx="2">
                    <c:v>Gaza</c:v>
                  </c:pt>
                  <c:pt idx="4">
                    <c:v>Deir al-Balah</c:v>
                  </c:pt>
                  <c:pt idx="6">
                    <c:v>Khan Yunis</c:v>
                  </c:pt>
                  <c:pt idx="8">
                    <c:v>Rafah</c:v>
                  </c:pt>
                  <c:pt idx="10">
                    <c:v>Average</c:v>
                  </c:pt>
                </c:lvl>
              </c:multiLvlStrCache>
            </c:multiLvlStrRef>
          </c:cat>
          <c:val>
            <c:numRef>
              <c:f>HandWash!$N$3:$N$14</c:f>
              <c:numCache>
                <c:formatCode>0%</c:formatCode>
                <c:ptCount val="12"/>
                <c:pt idx="0">
                  <c:v>0.34299999999999997</c:v>
                </c:pt>
                <c:pt idx="1">
                  <c:v>7.9881656804733692E-2</c:v>
                </c:pt>
                <c:pt idx="2">
                  <c:v>0.41200000000000003</c:v>
                </c:pt>
                <c:pt idx="3">
                  <c:v>0.10264900662251653</c:v>
                </c:pt>
                <c:pt idx="4">
                  <c:v>0.34699999999999998</c:v>
                </c:pt>
                <c:pt idx="5">
                  <c:v>0.13824884792626724</c:v>
                </c:pt>
                <c:pt idx="6">
                  <c:v>0.29900000000000004</c:v>
                </c:pt>
                <c:pt idx="7">
                  <c:v>7.1312803889789333E-2</c:v>
                </c:pt>
                <c:pt idx="8">
                  <c:v>0.36</c:v>
                </c:pt>
                <c:pt idx="9">
                  <c:v>3.0018761726078758E-2</c:v>
                </c:pt>
                <c:pt idx="10">
                  <c:v>0.35199999999999998</c:v>
                </c:pt>
                <c:pt idx="11">
                  <c:v>8.4333543903979735E-2</c:v>
                </c:pt>
              </c:numCache>
            </c:numRef>
          </c:val>
        </c:ser>
        <c:dLbls>
          <c:showLegendKey val="0"/>
          <c:showVal val="0"/>
          <c:showCatName val="0"/>
          <c:showSerName val="0"/>
          <c:showPercent val="0"/>
          <c:showBubbleSize val="0"/>
        </c:dLbls>
        <c:gapWidth val="80"/>
        <c:overlap val="100"/>
        <c:axId val="530057048"/>
        <c:axId val="530045288"/>
      </c:barChart>
      <c:catAx>
        <c:axId val="530057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45288"/>
        <c:crosses val="autoZero"/>
        <c:auto val="1"/>
        <c:lblAlgn val="ctr"/>
        <c:lblOffset val="100"/>
        <c:noMultiLvlLbl val="0"/>
      </c:catAx>
      <c:valAx>
        <c:axId val="530045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057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pivotSource>
    <c:name>[Gaza WASH Assessment_raw data_GVC_edited.xlsx]Pivots!PivotTable60</c:name>
    <c:fmtId val="-1"/>
  </c:pivotSource>
  <c:chart>
    <c:title>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5"/>
          </a:solidFill>
          <a:ln>
            <a:noFill/>
          </a:ln>
          <a:effectLst/>
        </c:spPr>
        <c:marker>
          <c:symbol val="none"/>
        </c:marker>
      </c:pivotFmt>
      <c:pivotFmt>
        <c:idx val="1"/>
        <c:spPr>
          <a:solidFill>
            <a:schemeClr val="accent5"/>
          </a:solidFill>
          <a:ln>
            <a:noFill/>
          </a:ln>
          <a:effectLst/>
        </c:spPr>
        <c:marker>
          <c:symbol val="none"/>
        </c:marker>
      </c:pivotFmt>
      <c:pivotFmt>
        <c:idx val="2"/>
        <c:spPr>
          <a:solidFill>
            <a:schemeClr val="accent5"/>
          </a:solidFill>
          <a:ln>
            <a:noFill/>
          </a:ln>
          <a:effectLst/>
        </c:spPr>
        <c:marker>
          <c:symbol val="none"/>
        </c:marker>
      </c:pivotFmt>
      <c:pivotFmt>
        <c:idx val="3"/>
        <c:spPr>
          <a:solidFill>
            <a:schemeClr val="accent5"/>
          </a:solidFill>
          <a:ln>
            <a:noFill/>
          </a:ln>
          <a:effectLst/>
        </c:spPr>
        <c:marker>
          <c:symbol val="none"/>
        </c:marker>
      </c:pivotFmt>
      <c:pivotFmt>
        <c:idx val="4"/>
        <c:spPr>
          <a:solidFill>
            <a:schemeClr val="accent5"/>
          </a:solidFill>
          <a:ln>
            <a:noFill/>
          </a:ln>
          <a:effectLst/>
        </c:spPr>
        <c:marker>
          <c:symbol val="none"/>
        </c:marker>
      </c:pivotFmt>
      <c:pivotFmt>
        <c:idx val="5"/>
        <c:spPr>
          <a:solidFill>
            <a:schemeClr val="accent5"/>
          </a:solidFill>
          <a:ln>
            <a:noFill/>
          </a:ln>
          <a:effectLst/>
        </c:spPr>
        <c:marker>
          <c:symbol val="none"/>
        </c:marker>
      </c:pivotFmt>
      <c:pivotFmt>
        <c:idx val="6"/>
        <c:spPr>
          <a:solidFill>
            <a:schemeClr val="accent5"/>
          </a:solidFill>
          <a:ln>
            <a:noFill/>
          </a:ln>
          <a:effectLst/>
        </c:spPr>
        <c:marker>
          <c:symbol val="none"/>
        </c:marker>
      </c:pivotFmt>
      <c:pivotFmt>
        <c:idx val="7"/>
        <c:spPr>
          <a:solidFill>
            <a:schemeClr val="accent5"/>
          </a:solidFill>
          <a:ln>
            <a:noFill/>
          </a:ln>
          <a:effectLst/>
        </c:spPr>
        <c:marker>
          <c:symbol val="none"/>
        </c:marker>
      </c:pivotFmt>
      <c:pivotFmt>
        <c:idx val="8"/>
        <c:spPr>
          <a:solidFill>
            <a:schemeClr val="accent5"/>
          </a:solidFill>
          <a:ln>
            <a:noFill/>
          </a:ln>
          <a:effectLst/>
        </c:spPr>
        <c:marker>
          <c:symbol val="none"/>
        </c:marker>
      </c:pivotFmt>
    </c:pivotFmts>
    <c:plotArea>
      <c:layout>
        <c:manualLayout>
          <c:layoutTarget val="inner"/>
          <c:xMode val="edge"/>
          <c:yMode val="edge"/>
          <c:x val="7.4024156591410054E-2"/>
          <c:y val="0.21628477905073651"/>
          <c:w val="0.64438128014318574"/>
          <c:h val="0.63479322654226322"/>
        </c:manualLayout>
      </c:layout>
      <c:barChart>
        <c:barDir val="bar"/>
        <c:grouping val="percentStacked"/>
        <c:varyColors val="0"/>
        <c:ser>
          <c:idx val="0"/>
          <c:order val="0"/>
          <c:tx>
            <c:strRef>
              <c:f>Pivots!$AF$223:$AF$224</c:f>
              <c:strCache>
                <c:ptCount val="1"/>
                <c:pt idx="0">
                  <c:v>Clean</c:v>
                </c:pt>
              </c:strCache>
            </c:strRef>
          </c:tx>
          <c:spPr>
            <a:solidFill>
              <a:schemeClr val="accent5">
                <a:shade val="65000"/>
              </a:schemeClr>
            </a:solidFill>
            <a:ln>
              <a:noFill/>
            </a:ln>
            <a:effectLst/>
          </c:spPr>
          <c:invertIfNegative val="0"/>
          <c:cat>
            <c:strRef>
              <c:f>Pivots!$AE$225:$AE$230</c:f>
              <c:strCache>
                <c:ptCount val="5"/>
                <c:pt idx="0">
                  <c:v>1</c:v>
                </c:pt>
                <c:pt idx="1">
                  <c:v>2</c:v>
                </c:pt>
                <c:pt idx="2">
                  <c:v>3</c:v>
                </c:pt>
                <c:pt idx="3">
                  <c:v>4</c:v>
                </c:pt>
                <c:pt idx="4">
                  <c:v>5</c:v>
                </c:pt>
              </c:strCache>
            </c:strRef>
          </c:cat>
          <c:val>
            <c:numRef>
              <c:f>Pivots!$AF$225:$AF$230</c:f>
              <c:numCache>
                <c:formatCode>0.00%</c:formatCode>
                <c:ptCount val="5"/>
                <c:pt idx="0">
                  <c:v>0.20626349892008639</c:v>
                </c:pt>
                <c:pt idx="1">
                  <c:v>0.23636363636363636</c:v>
                </c:pt>
                <c:pt idx="2">
                  <c:v>0.26589595375722541</c:v>
                </c:pt>
                <c:pt idx="3">
                  <c:v>0.41487839771101576</c:v>
                </c:pt>
                <c:pt idx="4">
                  <c:v>0.60642570281124497</c:v>
                </c:pt>
              </c:numCache>
            </c:numRef>
          </c:val>
        </c:ser>
        <c:ser>
          <c:idx val="1"/>
          <c:order val="1"/>
          <c:tx>
            <c:strRef>
              <c:f>Pivots!$AG$223:$AG$224</c:f>
              <c:strCache>
                <c:ptCount val="1"/>
                <c:pt idx="0">
                  <c:v>Medium</c:v>
                </c:pt>
              </c:strCache>
            </c:strRef>
          </c:tx>
          <c:spPr>
            <a:solidFill>
              <a:schemeClr val="accent5"/>
            </a:solidFill>
            <a:ln>
              <a:noFill/>
            </a:ln>
            <a:effectLst/>
          </c:spPr>
          <c:invertIfNegative val="0"/>
          <c:cat>
            <c:strRef>
              <c:f>Pivots!$AE$225:$AE$230</c:f>
              <c:strCache>
                <c:ptCount val="5"/>
                <c:pt idx="0">
                  <c:v>1</c:v>
                </c:pt>
                <c:pt idx="1">
                  <c:v>2</c:v>
                </c:pt>
                <c:pt idx="2">
                  <c:v>3</c:v>
                </c:pt>
                <c:pt idx="3">
                  <c:v>4</c:v>
                </c:pt>
                <c:pt idx="4">
                  <c:v>5</c:v>
                </c:pt>
              </c:strCache>
            </c:strRef>
          </c:cat>
          <c:val>
            <c:numRef>
              <c:f>Pivots!$AG$225:$AG$230</c:f>
              <c:numCache>
                <c:formatCode>0.00%</c:formatCode>
                <c:ptCount val="5"/>
                <c:pt idx="0">
                  <c:v>0.4427645788336933</c:v>
                </c:pt>
                <c:pt idx="1">
                  <c:v>0.48</c:v>
                </c:pt>
                <c:pt idx="2">
                  <c:v>0.52793834296724473</c:v>
                </c:pt>
                <c:pt idx="3">
                  <c:v>0.41630901287553645</c:v>
                </c:pt>
                <c:pt idx="4">
                  <c:v>0.31593038821954483</c:v>
                </c:pt>
              </c:numCache>
            </c:numRef>
          </c:val>
        </c:ser>
        <c:ser>
          <c:idx val="2"/>
          <c:order val="2"/>
          <c:tx>
            <c:strRef>
              <c:f>Pivots!$AH$223:$AH$224</c:f>
              <c:strCache>
                <c:ptCount val="1"/>
                <c:pt idx="0">
                  <c:v>Poor</c:v>
                </c:pt>
              </c:strCache>
            </c:strRef>
          </c:tx>
          <c:spPr>
            <a:solidFill>
              <a:schemeClr val="accent6">
                <a:lumMod val="40000"/>
                <a:lumOff val="60000"/>
              </a:schemeClr>
            </a:solidFill>
            <a:ln>
              <a:noFill/>
            </a:ln>
            <a:effectLst/>
          </c:spPr>
          <c:invertIfNegative val="0"/>
          <c:cat>
            <c:strRef>
              <c:f>Pivots!$AE$225:$AE$230</c:f>
              <c:strCache>
                <c:ptCount val="5"/>
                <c:pt idx="0">
                  <c:v>1</c:v>
                </c:pt>
                <c:pt idx="1">
                  <c:v>2</c:v>
                </c:pt>
                <c:pt idx="2">
                  <c:v>3</c:v>
                </c:pt>
                <c:pt idx="3">
                  <c:v>4</c:v>
                </c:pt>
                <c:pt idx="4">
                  <c:v>5</c:v>
                </c:pt>
              </c:strCache>
            </c:strRef>
          </c:cat>
          <c:val>
            <c:numRef>
              <c:f>Pivots!$AH$225:$AH$230</c:f>
              <c:numCache>
                <c:formatCode>0.00%</c:formatCode>
                <c:ptCount val="5"/>
                <c:pt idx="0">
                  <c:v>0.35097192224622031</c:v>
                </c:pt>
                <c:pt idx="1">
                  <c:v>0.28363636363636363</c:v>
                </c:pt>
                <c:pt idx="2">
                  <c:v>0.20616570327552985</c:v>
                </c:pt>
                <c:pt idx="3">
                  <c:v>0.16881258941344779</c:v>
                </c:pt>
                <c:pt idx="4">
                  <c:v>7.7643908969210168E-2</c:v>
                </c:pt>
              </c:numCache>
            </c:numRef>
          </c:val>
        </c:ser>
        <c:dLbls>
          <c:showLegendKey val="0"/>
          <c:showVal val="0"/>
          <c:showCatName val="0"/>
          <c:showSerName val="0"/>
          <c:showPercent val="0"/>
          <c:showBubbleSize val="0"/>
        </c:dLbls>
        <c:gapWidth val="50"/>
        <c:overlap val="100"/>
        <c:axId val="529728504"/>
        <c:axId val="529723016"/>
      </c:barChart>
      <c:catAx>
        <c:axId val="529728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23016"/>
        <c:crosses val="autoZero"/>
        <c:auto val="1"/>
        <c:lblAlgn val="ctr"/>
        <c:lblOffset val="100"/>
        <c:noMultiLvlLbl val="0"/>
      </c:catAx>
      <c:valAx>
        <c:axId val="5297230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28504"/>
        <c:crosses val="autoZero"/>
        <c:crossBetween val="between"/>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pivotSource>
    <c:name>[Gaza WASH Assessment_raw data_GVC_edited.xlsx]Pivots!PivotTable59</c:name>
    <c:fmtId val="-1"/>
  </c:pivotSource>
  <c:chart>
    <c:title>
      <c:layout>
        <c:manualLayout>
          <c:xMode val="edge"/>
          <c:yMode val="edge"/>
          <c:x val="0.3798048687006465"/>
          <c:y val="1.4657383657017223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5"/>
          </a:solidFill>
          <a:ln>
            <a:noFill/>
          </a:ln>
          <a:effectLst/>
        </c:spPr>
        <c:marker>
          <c:symbol val="none"/>
        </c:marker>
      </c:pivotFmt>
      <c:pivotFmt>
        <c:idx val="1"/>
        <c:spPr>
          <a:solidFill>
            <a:schemeClr val="accent5"/>
          </a:solidFill>
          <a:ln>
            <a:noFill/>
          </a:ln>
          <a:effectLst/>
        </c:spPr>
        <c:marker>
          <c:symbol val="none"/>
        </c:marker>
      </c:pivotFmt>
      <c:pivotFmt>
        <c:idx val="2"/>
        <c:spPr>
          <a:solidFill>
            <a:schemeClr val="accent5"/>
          </a:solidFill>
          <a:ln>
            <a:noFill/>
          </a:ln>
          <a:effectLst/>
        </c:spPr>
        <c:marker>
          <c:symbol val="none"/>
        </c:marker>
      </c:pivotFmt>
      <c:pivotFmt>
        <c:idx val="3"/>
        <c:spPr>
          <a:solidFill>
            <a:schemeClr val="accent5"/>
          </a:solidFill>
          <a:ln>
            <a:noFill/>
          </a:ln>
          <a:effectLst/>
        </c:spPr>
        <c:marker>
          <c:symbol val="none"/>
        </c:marker>
      </c:pivotFmt>
      <c:pivotFmt>
        <c:idx val="4"/>
        <c:spPr>
          <a:solidFill>
            <a:schemeClr val="accent5"/>
          </a:solidFill>
          <a:ln>
            <a:noFill/>
          </a:ln>
          <a:effectLst/>
        </c:spPr>
        <c:marker>
          <c:symbol val="none"/>
        </c:marker>
      </c:pivotFmt>
      <c:pivotFmt>
        <c:idx val="5"/>
        <c:spPr>
          <a:solidFill>
            <a:schemeClr val="accent5"/>
          </a:solidFill>
          <a:ln>
            <a:noFill/>
          </a:ln>
          <a:effectLst/>
        </c:spPr>
        <c:marker>
          <c:symbol val="none"/>
        </c:marker>
      </c:pivotFmt>
      <c:pivotFmt>
        <c:idx val="6"/>
        <c:spPr>
          <a:solidFill>
            <a:schemeClr val="accent5"/>
          </a:solidFill>
          <a:ln>
            <a:noFill/>
          </a:ln>
          <a:effectLst/>
        </c:spPr>
        <c:marker>
          <c:symbol val="none"/>
        </c:marker>
      </c:pivotFmt>
      <c:pivotFmt>
        <c:idx val="7"/>
        <c:spPr>
          <a:solidFill>
            <a:schemeClr val="accent5"/>
          </a:solidFill>
          <a:ln>
            <a:noFill/>
          </a:ln>
          <a:effectLst/>
        </c:spPr>
        <c:marker>
          <c:symbol val="none"/>
        </c:marker>
      </c:pivotFmt>
      <c:pivotFmt>
        <c:idx val="8"/>
        <c:spPr>
          <a:solidFill>
            <a:schemeClr val="accent5"/>
          </a:solidFill>
          <a:ln>
            <a:noFill/>
          </a:ln>
          <a:effectLst/>
        </c:spPr>
        <c:marker>
          <c:symbol val="none"/>
        </c:marker>
      </c:pivotFmt>
    </c:pivotFmts>
    <c:plotArea>
      <c:layout>
        <c:manualLayout>
          <c:layoutTarget val="inner"/>
          <c:xMode val="edge"/>
          <c:yMode val="edge"/>
          <c:x val="0.25879528623316755"/>
          <c:y val="0.18636863319897398"/>
          <c:w val="0.5055780993199368"/>
          <c:h val="0.64361841175129764"/>
        </c:manualLayout>
      </c:layout>
      <c:barChart>
        <c:barDir val="bar"/>
        <c:grouping val="percentStacked"/>
        <c:varyColors val="0"/>
        <c:ser>
          <c:idx val="0"/>
          <c:order val="0"/>
          <c:tx>
            <c:strRef>
              <c:f>Pivots!$Q$223:$Q$224</c:f>
              <c:strCache>
                <c:ptCount val="1"/>
                <c:pt idx="0">
                  <c:v>Clean</c:v>
                </c:pt>
              </c:strCache>
            </c:strRef>
          </c:tx>
          <c:spPr>
            <a:solidFill>
              <a:schemeClr val="accent5">
                <a:shade val="65000"/>
              </a:schemeClr>
            </a:solidFill>
            <a:ln>
              <a:noFill/>
            </a:ln>
            <a:effectLst/>
          </c:spPr>
          <c:invertIfNegative val="0"/>
          <c:cat>
            <c:strRef>
              <c:f>Pivots!$P$225:$P$229</c:f>
              <c:strCache>
                <c:ptCount val="4"/>
                <c:pt idx="0">
                  <c:v>Unaffected</c:v>
                </c:pt>
                <c:pt idx="1">
                  <c:v>IDP</c:v>
                </c:pt>
                <c:pt idx="2">
                  <c:v>War-affected</c:v>
                </c:pt>
                <c:pt idx="3">
                  <c:v>WASH affected</c:v>
                </c:pt>
              </c:strCache>
            </c:strRef>
          </c:cat>
          <c:val>
            <c:numRef>
              <c:f>Pivots!$Q$225:$Q$229</c:f>
              <c:numCache>
                <c:formatCode>0.00%</c:formatCode>
                <c:ptCount val="4"/>
                <c:pt idx="0">
                  <c:v>0.58846153846153848</c:v>
                </c:pt>
                <c:pt idx="1">
                  <c:v>0.43305785123966944</c:v>
                </c:pt>
                <c:pt idx="2">
                  <c:v>0.30922431865828093</c:v>
                </c:pt>
                <c:pt idx="3">
                  <c:v>0.14631197097944376</c:v>
                </c:pt>
              </c:numCache>
            </c:numRef>
          </c:val>
        </c:ser>
        <c:ser>
          <c:idx val="1"/>
          <c:order val="1"/>
          <c:tx>
            <c:strRef>
              <c:f>Pivots!$R$223:$R$224</c:f>
              <c:strCache>
                <c:ptCount val="1"/>
                <c:pt idx="0">
                  <c:v>Medium</c:v>
                </c:pt>
              </c:strCache>
            </c:strRef>
          </c:tx>
          <c:spPr>
            <a:solidFill>
              <a:schemeClr val="accent5"/>
            </a:solidFill>
            <a:ln>
              <a:noFill/>
            </a:ln>
            <a:effectLst/>
          </c:spPr>
          <c:invertIfNegative val="0"/>
          <c:cat>
            <c:strRef>
              <c:f>Pivots!$P$225:$P$229</c:f>
              <c:strCache>
                <c:ptCount val="4"/>
                <c:pt idx="0">
                  <c:v>Unaffected</c:v>
                </c:pt>
                <c:pt idx="1">
                  <c:v>IDP</c:v>
                </c:pt>
                <c:pt idx="2">
                  <c:v>War-affected</c:v>
                </c:pt>
                <c:pt idx="3">
                  <c:v>WASH affected</c:v>
                </c:pt>
              </c:strCache>
            </c:strRef>
          </c:cat>
          <c:val>
            <c:numRef>
              <c:f>Pivots!$R$225:$R$229</c:f>
              <c:numCache>
                <c:formatCode>0.00%</c:formatCode>
                <c:ptCount val="4"/>
                <c:pt idx="0">
                  <c:v>0.34615384615384615</c:v>
                </c:pt>
                <c:pt idx="1">
                  <c:v>0.39173553719008264</c:v>
                </c:pt>
                <c:pt idx="2">
                  <c:v>0.49790356394129981</c:v>
                </c:pt>
                <c:pt idx="3">
                  <c:v>0.43651753325272069</c:v>
                </c:pt>
              </c:numCache>
            </c:numRef>
          </c:val>
        </c:ser>
        <c:ser>
          <c:idx val="2"/>
          <c:order val="2"/>
          <c:tx>
            <c:strRef>
              <c:f>Pivots!$S$223:$S$224</c:f>
              <c:strCache>
                <c:ptCount val="1"/>
                <c:pt idx="0">
                  <c:v>Poor</c:v>
                </c:pt>
              </c:strCache>
            </c:strRef>
          </c:tx>
          <c:spPr>
            <a:solidFill>
              <a:schemeClr val="accent6">
                <a:lumMod val="40000"/>
                <a:lumOff val="60000"/>
              </a:schemeClr>
            </a:solidFill>
            <a:ln>
              <a:noFill/>
            </a:ln>
            <a:effectLst/>
          </c:spPr>
          <c:invertIfNegative val="0"/>
          <c:cat>
            <c:strRef>
              <c:f>Pivots!$P$225:$P$229</c:f>
              <c:strCache>
                <c:ptCount val="4"/>
                <c:pt idx="0">
                  <c:v>Unaffected</c:v>
                </c:pt>
                <c:pt idx="1">
                  <c:v>IDP</c:v>
                </c:pt>
                <c:pt idx="2">
                  <c:v>War-affected</c:v>
                </c:pt>
                <c:pt idx="3">
                  <c:v>WASH affected</c:v>
                </c:pt>
              </c:strCache>
            </c:strRef>
          </c:cat>
          <c:val>
            <c:numRef>
              <c:f>Pivots!$S$225:$S$229</c:f>
              <c:numCache>
                <c:formatCode>0.00%</c:formatCode>
                <c:ptCount val="4"/>
                <c:pt idx="0">
                  <c:v>6.5384615384615388E-2</c:v>
                </c:pt>
                <c:pt idx="1">
                  <c:v>0.17520661157024794</c:v>
                </c:pt>
                <c:pt idx="2">
                  <c:v>0.19287211740041929</c:v>
                </c:pt>
                <c:pt idx="3">
                  <c:v>0.41717049576783555</c:v>
                </c:pt>
              </c:numCache>
            </c:numRef>
          </c:val>
        </c:ser>
        <c:dLbls>
          <c:showLegendKey val="0"/>
          <c:showVal val="0"/>
          <c:showCatName val="0"/>
          <c:showSerName val="0"/>
          <c:showPercent val="0"/>
          <c:showBubbleSize val="0"/>
        </c:dLbls>
        <c:gapWidth val="50"/>
        <c:overlap val="100"/>
        <c:axId val="529725760"/>
        <c:axId val="529717528"/>
      </c:barChart>
      <c:catAx>
        <c:axId val="529725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17528"/>
        <c:crosses val="autoZero"/>
        <c:auto val="1"/>
        <c:lblAlgn val="ctr"/>
        <c:lblOffset val="100"/>
        <c:noMultiLvlLbl val="0"/>
      </c:catAx>
      <c:valAx>
        <c:axId val="5297175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25760"/>
        <c:crosses val="autoZero"/>
        <c:crossBetween val="between"/>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9642841606125201"/>
          <c:y val="2.6327336551118911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6594845533811032E-2"/>
          <c:y val="0.22316805616498464"/>
          <c:w val="0.84030539000304516"/>
          <c:h val="0.57324907664295377"/>
        </c:manualLayout>
      </c:layout>
      <c:barChart>
        <c:barDir val="bar"/>
        <c:grouping val="percentStacked"/>
        <c:varyColors val="0"/>
        <c:ser>
          <c:idx val="1"/>
          <c:order val="0"/>
          <c:tx>
            <c:strRef>
              <c:f>HygSupp!$C$18</c:f>
              <c:strCache>
                <c:ptCount val="1"/>
                <c:pt idx="0">
                  <c:v>Column2</c:v>
                </c:pt>
              </c:strCache>
            </c:strRef>
          </c:tx>
          <c:spPr>
            <a:solidFill>
              <a:schemeClr val="accent5">
                <a:lumMod val="60000"/>
                <a:lumOff val="40000"/>
              </a:schemeClr>
            </a:solidFill>
            <a:ln>
              <a:noFill/>
            </a:ln>
            <a:effectLst/>
          </c:spPr>
          <c:invertIfNegative val="0"/>
          <c:cat>
            <c:strRef>
              <c:f>HygSupp!$A$19:$A$24</c:f>
              <c:strCache>
                <c:ptCount val="5"/>
                <c:pt idx="0">
                  <c:v>1</c:v>
                </c:pt>
                <c:pt idx="1">
                  <c:v>2</c:v>
                </c:pt>
                <c:pt idx="2">
                  <c:v>3</c:v>
                </c:pt>
                <c:pt idx="3">
                  <c:v>4</c:v>
                </c:pt>
                <c:pt idx="4">
                  <c:v>5</c:v>
                </c:pt>
              </c:strCache>
              <c:extLst/>
            </c:strRef>
          </c:cat>
          <c:val>
            <c:numRef>
              <c:f>HygSupp!$C$19:$C$24</c:f>
              <c:numCache>
                <c:formatCode>0%</c:formatCode>
                <c:ptCount val="5"/>
                <c:pt idx="0">
                  <c:v>0.64902807775377969</c:v>
                </c:pt>
                <c:pt idx="1">
                  <c:v>0.71636363636363631</c:v>
                </c:pt>
                <c:pt idx="2">
                  <c:v>0.79961464354527934</c:v>
                </c:pt>
                <c:pt idx="3">
                  <c:v>0.86266094420600858</c:v>
                </c:pt>
                <c:pt idx="4">
                  <c:v>0.93038821954484607</c:v>
                </c:pt>
              </c:numCache>
              <c:extLst/>
            </c:numRef>
          </c:val>
        </c:ser>
        <c:ser>
          <c:idx val="0"/>
          <c:order val="1"/>
          <c:tx>
            <c:strRef>
              <c:f>HygSupp!$B$18</c:f>
              <c:strCache>
                <c:ptCount val="1"/>
                <c:pt idx="0">
                  <c:v>Hygiene Support</c:v>
                </c:pt>
              </c:strCache>
            </c:strRef>
          </c:tx>
          <c:spPr>
            <a:solidFill>
              <a:schemeClr val="accent6">
                <a:lumMod val="75000"/>
              </a:schemeClr>
            </a:solidFill>
            <a:ln>
              <a:noFill/>
            </a:ln>
            <a:effectLst/>
          </c:spPr>
          <c:invertIfNegative val="0"/>
          <c:cat>
            <c:strRef>
              <c:f>HygSupp!$A$19:$A$24</c:f>
              <c:strCache>
                <c:ptCount val="5"/>
                <c:pt idx="0">
                  <c:v>1</c:v>
                </c:pt>
                <c:pt idx="1">
                  <c:v>2</c:v>
                </c:pt>
                <c:pt idx="2">
                  <c:v>3</c:v>
                </c:pt>
                <c:pt idx="3">
                  <c:v>4</c:v>
                </c:pt>
                <c:pt idx="4">
                  <c:v>5</c:v>
                </c:pt>
              </c:strCache>
              <c:extLst/>
            </c:strRef>
          </c:cat>
          <c:val>
            <c:numRef>
              <c:f>HygSupp!$B$19:$B$24</c:f>
              <c:numCache>
                <c:formatCode>0%</c:formatCode>
                <c:ptCount val="5"/>
                <c:pt idx="0">
                  <c:v>0.35097192224622031</c:v>
                </c:pt>
                <c:pt idx="1">
                  <c:v>0.28363636363636363</c:v>
                </c:pt>
                <c:pt idx="2">
                  <c:v>0.20038535645472061</c:v>
                </c:pt>
                <c:pt idx="3">
                  <c:v>0.13733905579399142</c:v>
                </c:pt>
                <c:pt idx="4">
                  <c:v>6.9611780455153954E-2</c:v>
                </c:pt>
              </c:numCache>
              <c:extLst/>
            </c:numRef>
          </c:val>
        </c:ser>
        <c:dLbls>
          <c:showLegendKey val="0"/>
          <c:showVal val="0"/>
          <c:showCatName val="0"/>
          <c:showSerName val="0"/>
          <c:showPercent val="0"/>
          <c:showBubbleSize val="0"/>
        </c:dLbls>
        <c:gapWidth val="50"/>
        <c:overlap val="100"/>
        <c:axId val="529726152"/>
        <c:axId val="529722232"/>
      </c:barChart>
      <c:catAx>
        <c:axId val="529726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22232"/>
        <c:crosses val="autoZero"/>
        <c:auto val="1"/>
        <c:lblAlgn val="ctr"/>
        <c:lblOffset val="100"/>
        <c:noMultiLvlLbl val="0"/>
      </c:catAx>
      <c:valAx>
        <c:axId val="5297222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26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9787922424093874"/>
          <c:y val="1.7293558149589279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7295505377002971"/>
          <c:y val="0.21124081279723303"/>
          <c:w val="0.64510922516008451"/>
          <c:h val="0.58816889133994432"/>
        </c:manualLayout>
      </c:layout>
      <c:barChart>
        <c:barDir val="bar"/>
        <c:grouping val="percentStacked"/>
        <c:varyColors val="0"/>
        <c:ser>
          <c:idx val="1"/>
          <c:order val="0"/>
          <c:tx>
            <c:strRef>
              <c:f>HygSupp!$C$10</c:f>
              <c:strCache>
                <c:ptCount val="1"/>
                <c:pt idx="0">
                  <c:v>Column2</c:v>
                </c:pt>
              </c:strCache>
            </c:strRef>
          </c:tx>
          <c:spPr>
            <a:solidFill>
              <a:schemeClr val="accent5">
                <a:lumMod val="60000"/>
                <a:lumOff val="40000"/>
              </a:schemeClr>
            </a:solidFill>
            <a:ln>
              <a:noFill/>
            </a:ln>
            <a:effectLst/>
          </c:spPr>
          <c:invertIfNegative val="0"/>
          <c:cat>
            <c:strRef>
              <c:f>HygSupp!$A$11:$A$15</c:f>
              <c:strCache>
                <c:ptCount val="4"/>
                <c:pt idx="0">
                  <c:v>Unaffected</c:v>
                </c:pt>
                <c:pt idx="1">
                  <c:v>IDP</c:v>
                </c:pt>
                <c:pt idx="2">
                  <c:v>War-affected</c:v>
                </c:pt>
                <c:pt idx="3">
                  <c:v>WASH affected</c:v>
                </c:pt>
              </c:strCache>
              <c:extLst/>
            </c:strRef>
          </c:cat>
          <c:val>
            <c:numRef>
              <c:f>HygSupp!$C$11:$C$15</c:f>
              <c:numCache>
                <c:formatCode>0%</c:formatCode>
                <c:ptCount val="4"/>
                <c:pt idx="0">
                  <c:v>0.94358974358974357</c:v>
                </c:pt>
                <c:pt idx="1">
                  <c:v>0.84297520661157022</c:v>
                </c:pt>
                <c:pt idx="2">
                  <c:v>0.80607966457023061</c:v>
                </c:pt>
                <c:pt idx="3">
                  <c:v>0.59975816203143895</c:v>
                </c:pt>
              </c:numCache>
              <c:extLst/>
            </c:numRef>
          </c:val>
        </c:ser>
        <c:ser>
          <c:idx val="0"/>
          <c:order val="1"/>
          <c:tx>
            <c:strRef>
              <c:f>HygSupp!$B$10</c:f>
              <c:strCache>
                <c:ptCount val="1"/>
                <c:pt idx="0">
                  <c:v>Hygiene Support</c:v>
                </c:pt>
              </c:strCache>
            </c:strRef>
          </c:tx>
          <c:spPr>
            <a:solidFill>
              <a:schemeClr val="accent6">
                <a:lumMod val="75000"/>
              </a:schemeClr>
            </a:solidFill>
            <a:ln>
              <a:noFill/>
            </a:ln>
            <a:effectLst/>
          </c:spPr>
          <c:invertIfNegative val="0"/>
          <c:cat>
            <c:strRef>
              <c:f>HygSupp!$A$11:$A$15</c:f>
              <c:strCache>
                <c:ptCount val="4"/>
                <c:pt idx="0">
                  <c:v>Unaffected</c:v>
                </c:pt>
                <c:pt idx="1">
                  <c:v>IDP</c:v>
                </c:pt>
                <c:pt idx="2">
                  <c:v>War-affected</c:v>
                </c:pt>
                <c:pt idx="3">
                  <c:v>WASH affected</c:v>
                </c:pt>
              </c:strCache>
              <c:extLst/>
            </c:strRef>
          </c:cat>
          <c:val>
            <c:numRef>
              <c:f>HygSupp!$B$11:$B$15</c:f>
              <c:numCache>
                <c:formatCode>0%</c:formatCode>
                <c:ptCount val="4"/>
                <c:pt idx="0">
                  <c:v>5.6410256410256411E-2</c:v>
                </c:pt>
                <c:pt idx="1">
                  <c:v>0.15702479338842976</c:v>
                </c:pt>
                <c:pt idx="2">
                  <c:v>0.19392033542976939</c:v>
                </c:pt>
                <c:pt idx="3">
                  <c:v>0.40024183796856105</c:v>
                </c:pt>
              </c:numCache>
              <c:extLst/>
            </c:numRef>
          </c:val>
        </c:ser>
        <c:dLbls>
          <c:showLegendKey val="0"/>
          <c:showVal val="0"/>
          <c:showCatName val="0"/>
          <c:showSerName val="0"/>
          <c:showPercent val="0"/>
          <c:showBubbleSize val="0"/>
        </c:dLbls>
        <c:gapWidth val="50"/>
        <c:overlap val="100"/>
        <c:axId val="529719096"/>
        <c:axId val="529724192"/>
      </c:barChart>
      <c:catAx>
        <c:axId val="529719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24192"/>
        <c:crosses val="autoZero"/>
        <c:auto val="1"/>
        <c:lblAlgn val="ctr"/>
        <c:lblOffset val="100"/>
        <c:noMultiLvlLbl val="0"/>
      </c:catAx>
      <c:valAx>
        <c:axId val="5297241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19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[Gaza WASH Assessment_raw data_GVC_edited.xlsx]Pivots!PivotTable35</c:name>
    <c:fmtId val="-1"/>
  </c:pivotSource>
  <c:chart>
    <c:title>
      <c:layout>
        <c:manualLayout>
          <c:xMode val="edge"/>
          <c:yMode val="edge"/>
          <c:x val="0.4003038936372269"/>
          <c:y val="2.1645021645021644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s>
    <c:plotArea>
      <c:layout>
        <c:manualLayout>
          <c:layoutTarget val="inner"/>
          <c:xMode val="edge"/>
          <c:yMode val="edge"/>
          <c:x val="0.24748128706133957"/>
          <c:y val="0.17626262626262626"/>
          <c:w val="0.58032857003985616"/>
          <c:h val="0.65636170478690159"/>
        </c:manualLayout>
      </c:layout>
      <c:barChart>
        <c:barDir val="bar"/>
        <c:grouping val="percentStacked"/>
        <c:varyColors val="0"/>
        <c:ser>
          <c:idx val="0"/>
          <c:order val="0"/>
          <c:tx>
            <c:strRef>
              <c:f>Pivots!$Q$153:$Q$154</c:f>
              <c:strCache>
                <c:ptCount val="1"/>
                <c:pt idx="0">
                  <c:v>No</c:v>
                </c:pt>
              </c:strCache>
            </c:strRef>
          </c:tx>
          <c:spPr>
            <a:solidFill>
              <a:schemeClr val="accent6">
                <a:lumMod val="75000"/>
              </a:schemeClr>
            </a:solidFill>
            <a:ln>
              <a:noFill/>
            </a:ln>
            <a:effectLst/>
          </c:spPr>
          <c:invertIfNegative val="0"/>
          <c:cat>
            <c:strRef>
              <c:f>Pivots!$P$155:$P$159</c:f>
              <c:strCache>
                <c:ptCount val="4"/>
                <c:pt idx="0">
                  <c:v>IDP</c:v>
                </c:pt>
                <c:pt idx="1">
                  <c:v>Unaffected</c:v>
                </c:pt>
                <c:pt idx="2">
                  <c:v>War-affected</c:v>
                </c:pt>
                <c:pt idx="3">
                  <c:v>WASH affected</c:v>
                </c:pt>
              </c:strCache>
            </c:strRef>
          </c:cat>
          <c:val>
            <c:numRef>
              <c:f>Pivots!$Q$155:$Q$159</c:f>
              <c:numCache>
                <c:formatCode>General</c:formatCode>
                <c:ptCount val="4"/>
                <c:pt idx="0">
                  <c:v>19</c:v>
                </c:pt>
                <c:pt idx="1">
                  <c:v>23</c:v>
                </c:pt>
                <c:pt idx="2">
                  <c:v>40</c:v>
                </c:pt>
                <c:pt idx="3">
                  <c:v>64</c:v>
                </c:pt>
              </c:numCache>
            </c:numRef>
          </c:val>
        </c:ser>
        <c:ser>
          <c:idx val="1"/>
          <c:order val="1"/>
          <c:tx>
            <c:strRef>
              <c:f>Pivots!$R$153:$R$154</c:f>
              <c:strCache>
                <c:ptCount val="1"/>
                <c:pt idx="0">
                  <c:v>Yes</c:v>
                </c:pt>
              </c:strCache>
            </c:strRef>
          </c:tx>
          <c:spPr>
            <a:solidFill>
              <a:schemeClr val="accent5">
                <a:lumMod val="60000"/>
                <a:lumOff val="40000"/>
              </a:schemeClr>
            </a:solidFill>
            <a:ln>
              <a:noFill/>
            </a:ln>
            <a:effectLst/>
          </c:spPr>
          <c:invertIfNegative val="0"/>
          <c:cat>
            <c:strRef>
              <c:f>Pivots!$P$155:$P$159</c:f>
              <c:strCache>
                <c:ptCount val="4"/>
                <c:pt idx="0">
                  <c:v>IDP</c:v>
                </c:pt>
                <c:pt idx="1">
                  <c:v>Unaffected</c:v>
                </c:pt>
                <c:pt idx="2">
                  <c:v>War-affected</c:v>
                </c:pt>
                <c:pt idx="3">
                  <c:v>WASH affected</c:v>
                </c:pt>
              </c:strCache>
            </c:strRef>
          </c:cat>
          <c:val>
            <c:numRef>
              <c:f>Pivots!$R$155:$R$159</c:f>
              <c:numCache>
                <c:formatCode>General</c:formatCode>
                <c:ptCount val="4"/>
                <c:pt idx="0">
                  <c:v>562</c:v>
                </c:pt>
                <c:pt idx="1">
                  <c:v>721</c:v>
                </c:pt>
                <c:pt idx="2">
                  <c:v>878</c:v>
                </c:pt>
                <c:pt idx="3">
                  <c:v>733</c:v>
                </c:pt>
              </c:numCache>
            </c:numRef>
          </c:val>
        </c:ser>
        <c:dLbls>
          <c:showLegendKey val="0"/>
          <c:showVal val="0"/>
          <c:showCatName val="0"/>
          <c:showSerName val="0"/>
          <c:showPercent val="0"/>
          <c:showBubbleSize val="0"/>
        </c:dLbls>
        <c:gapWidth val="50"/>
        <c:overlap val="100"/>
        <c:axId val="529722624"/>
        <c:axId val="529721448"/>
      </c:barChart>
      <c:catAx>
        <c:axId val="529722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21448"/>
        <c:crosses val="autoZero"/>
        <c:auto val="1"/>
        <c:lblAlgn val="ctr"/>
        <c:lblOffset val="100"/>
        <c:noMultiLvlLbl val="0"/>
      </c:catAx>
      <c:valAx>
        <c:axId val="5297214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22624"/>
        <c:crosses val="autoZero"/>
        <c:crossBetween val="between"/>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[Gaza WASH Assessment_raw data_GVC_edited.xlsx]Pivots!PivotTable37</c:name>
    <c:fmtId val="-1"/>
  </c:pivotSource>
  <c:chart>
    <c:title>
      <c:layout>
        <c:manualLayout>
          <c:xMode val="edge"/>
          <c:yMode val="edge"/>
          <c:x val="0.39738025415444772"/>
          <c:y val="2.1314387211367674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s>
    <c:plotArea>
      <c:layout>
        <c:manualLayout>
          <c:layoutTarget val="inner"/>
          <c:xMode val="edge"/>
          <c:yMode val="edge"/>
          <c:x val="7.5891041479052651E-2"/>
          <c:y val="0.17357015985790408"/>
          <c:w val="0.70776856705228564"/>
          <c:h val="0.66161088656102707"/>
        </c:manualLayout>
      </c:layout>
      <c:barChart>
        <c:barDir val="bar"/>
        <c:grouping val="percentStacked"/>
        <c:varyColors val="0"/>
        <c:ser>
          <c:idx val="0"/>
          <c:order val="0"/>
          <c:tx>
            <c:strRef>
              <c:f>Pivots!$AF$142:$AF$143</c:f>
              <c:strCache>
                <c:ptCount val="1"/>
                <c:pt idx="0">
                  <c:v>No</c:v>
                </c:pt>
              </c:strCache>
            </c:strRef>
          </c:tx>
          <c:spPr>
            <a:solidFill>
              <a:schemeClr val="accent6">
                <a:lumMod val="75000"/>
              </a:schemeClr>
            </a:solidFill>
            <a:ln>
              <a:noFill/>
            </a:ln>
            <a:effectLst/>
          </c:spPr>
          <c:invertIfNegative val="0"/>
          <c:cat>
            <c:strRef>
              <c:f>Pivots!$AE$144:$AE$149</c:f>
              <c:strCache>
                <c:ptCount val="5"/>
                <c:pt idx="0">
                  <c:v>1</c:v>
                </c:pt>
                <c:pt idx="1">
                  <c:v>2</c:v>
                </c:pt>
                <c:pt idx="2">
                  <c:v>3</c:v>
                </c:pt>
                <c:pt idx="3">
                  <c:v>4</c:v>
                </c:pt>
                <c:pt idx="4">
                  <c:v>5</c:v>
                </c:pt>
              </c:strCache>
            </c:strRef>
          </c:cat>
          <c:val>
            <c:numRef>
              <c:f>Pivots!$AF$144:$AF$149</c:f>
              <c:numCache>
                <c:formatCode>General</c:formatCode>
                <c:ptCount val="5"/>
                <c:pt idx="0">
                  <c:v>73</c:v>
                </c:pt>
                <c:pt idx="1">
                  <c:v>16</c:v>
                </c:pt>
                <c:pt idx="2">
                  <c:v>25</c:v>
                </c:pt>
                <c:pt idx="3">
                  <c:v>21</c:v>
                </c:pt>
                <c:pt idx="4">
                  <c:v>11</c:v>
                </c:pt>
              </c:numCache>
            </c:numRef>
          </c:val>
        </c:ser>
        <c:ser>
          <c:idx val="1"/>
          <c:order val="1"/>
          <c:tx>
            <c:strRef>
              <c:f>Pivots!$AG$142:$AG$143</c:f>
              <c:strCache>
                <c:ptCount val="1"/>
                <c:pt idx="0">
                  <c:v>Yes</c:v>
                </c:pt>
              </c:strCache>
            </c:strRef>
          </c:tx>
          <c:spPr>
            <a:solidFill>
              <a:schemeClr val="accent5">
                <a:lumMod val="60000"/>
                <a:lumOff val="40000"/>
              </a:schemeClr>
            </a:solidFill>
            <a:ln>
              <a:noFill/>
            </a:ln>
            <a:effectLst/>
          </c:spPr>
          <c:invertIfNegative val="0"/>
          <c:cat>
            <c:strRef>
              <c:f>Pivots!$AE$144:$AE$149</c:f>
              <c:strCache>
                <c:ptCount val="5"/>
                <c:pt idx="0">
                  <c:v>1</c:v>
                </c:pt>
                <c:pt idx="1">
                  <c:v>2</c:v>
                </c:pt>
                <c:pt idx="2">
                  <c:v>3</c:v>
                </c:pt>
                <c:pt idx="3">
                  <c:v>4</c:v>
                </c:pt>
                <c:pt idx="4">
                  <c:v>5</c:v>
                </c:pt>
              </c:strCache>
            </c:strRef>
          </c:cat>
          <c:val>
            <c:numRef>
              <c:f>Pivots!$AG$144:$AG$149</c:f>
              <c:numCache>
                <c:formatCode>General</c:formatCode>
                <c:ptCount val="5"/>
                <c:pt idx="0">
                  <c:v>804</c:v>
                </c:pt>
                <c:pt idx="1">
                  <c:v>246</c:v>
                </c:pt>
                <c:pt idx="2">
                  <c:v>477</c:v>
                </c:pt>
                <c:pt idx="3">
                  <c:v>651</c:v>
                </c:pt>
                <c:pt idx="4">
                  <c:v>716</c:v>
                </c:pt>
              </c:numCache>
            </c:numRef>
          </c:val>
        </c:ser>
        <c:dLbls>
          <c:showLegendKey val="0"/>
          <c:showVal val="0"/>
          <c:showCatName val="0"/>
          <c:showSerName val="0"/>
          <c:showPercent val="0"/>
          <c:showBubbleSize val="0"/>
        </c:dLbls>
        <c:gapWidth val="50"/>
        <c:overlap val="100"/>
        <c:axId val="529723800"/>
        <c:axId val="529725368"/>
      </c:barChart>
      <c:catAx>
        <c:axId val="529723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25368"/>
        <c:crosses val="autoZero"/>
        <c:auto val="1"/>
        <c:lblAlgn val="ctr"/>
        <c:lblOffset val="100"/>
        <c:noMultiLvlLbl val="0"/>
      </c:catAx>
      <c:valAx>
        <c:axId val="5297253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238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[ACF HH Survey.xlsx]Pivots!PivotTable3</c:name>
    <c:fmtId val="-1"/>
  </c:pivotSource>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Domestic</a:t>
            </a:r>
            <a:r>
              <a:rPr lang="en-US" sz="1100" baseline="0"/>
              <a:t> Water Storage by Governorate</a:t>
            </a:r>
            <a:endParaRPr lang="en-US" sz="1100"/>
          </a:p>
        </c:rich>
      </c:tx>
      <c:layout>
        <c:manualLayout>
          <c:xMode val="edge"/>
          <c:yMode val="edge"/>
          <c:x val="0.17438862239122413"/>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rgbClr val="92D050"/>
          </a:solidFill>
          <a:ln>
            <a:noFill/>
          </a:ln>
          <a:effectLst/>
        </c:spPr>
        <c:marker>
          <c:symbol val="none"/>
        </c:marker>
      </c:pivotFmt>
      <c:pivotFmt>
        <c:idx val="1"/>
        <c:spPr>
          <a:solidFill>
            <a:srgbClr val="FF0000"/>
          </a:solidFill>
          <a:ln>
            <a:noFill/>
          </a:ln>
          <a:effectLst/>
        </c:spPr>
        <c:marker>
          <c:symbol val="none"/>
        </c:marker>
      </c:pivotFmt>
      <c:pivotFmt>
        <c:idx val="2"/>
        <c:spPr>
          <a:solidFill>
            <a:srgbClr val="92D050"/>
          </a:solidFill>
          <a:ln>
            <a:noFill/>
          </a:ln>
          <a:effectLst/>
        </c:spPr>
        <c:marker>
          <c:symbol val="none"/>
        </c:marker>
      </c:pivotFmt>
      <c:pivotFmt>
        <c:idx val="3"/>
        <c:spPr>
          <a:solidFill>
            <a:srgbClr val="FF0000"/>
          </a:solidFill>
          <a:ln>
            <a:noFill/>
          </a:ln>
          <a:effectLst/>
        </c:spPr>
        <c:marker>
          <c:symbol val="none"/>
        </c:marker>
      </c:pivotFmt>
      <c:pivotFmt>
        <c:idx val="4"/>
        <c:spPr>
          <a:solidFill>
            <a:srgbClr val="92D050"/>
          </a:solidFill>
          <a:ln>
            <a:noFill/>
          </a:ln>
          <a:effectLst/>
        </c:spPr>
        <c:marker>
          <c:symbol val="none"/>
        </c:marker>
      </c:pivotFmt>
      <c:pivotFmt>
        <c:idx val="5"/>
        <c:spPr>
          <a:solidFill>
            <a:srgbClr val="FF0000"/>
          </a:solidFill>
          <a:ln>
            <a:noFill/>
          </a:ln>
          <a:effectLst/>
        </c:spPr>
        <c:marker>
          <c:symbol val="none"/>
        </c:marker>
      </c:pivotFmt>
    </c:pivotFmts>
    <c:plotArea>
      <c:layout>
        <c:manualLayout>
          <c:layoutTarget val="inner"/>
          <c:xMode val="edge"/>
          <c:yMode val="edge"/>
          <c:x val="0.20054400768142194"/>
          <c:y val="0.17552380952380953"/>
          <c:w val="0.60843365422994578"/>
          <c:h val="0.60354030746156728"/>
        </c:manualLayout>
      </c:layout>
      <c:barChart>
        <c:barDir val="bar"/>
        <c:grouping val="percentStacked"/>
        <c:varyColors val="0"/>
        <c:ser>
          <c:idx val="0"/>
          <c:order val="0"/>
          <c:tx>
            <c:strRef>
              <c:f>Pivots!$B$23</c:f>
              <c:strCache>
                <c:ptCount val="1"/>
                <c:pt idx="0">
                  <c:v>None</c:v>
                </c:pt>
              </c:strCache>
            </c:strRef>
          </c:tx>
          <c:spPr>
            <a:solidFill>
              <a:schemeClr val="accent6">
                <a:lumMod val="75000"/>
              </a:schemeClr>
            </a:solidFill>
            <a:ln>
              <a:noFill/>
            </a:ln>
            <a:effectLst/>
          </c:spPr>
          <c:invertIfNegative val="0"/>
          <c:cat>
            <c:strRef>
              <c:f>Pivots!$A$24:$A$29</c:f>
              <c:strCache>
                <c:ptCount val="5"/>
                <c:pt idx="0">
                  <c:v>Rafah</c:v>
                </c:pt>
                <c:pt idx="1">
                  <c:v>Khan Yunis</c:v>
                </c:pt>
                <c:pt idx="2">
                  <c:v>Deir al Balah</c:v>
                </c:pt>
                <c:pt idx="3">
                  <c:v>Gaza</c:v>
                </c:pt>
                <c:pt idx="4">
                  <c:v>North Gaza</c:v>
                </c:pt>
              </c:strCache>
            </c:strRef>
          </c:cat>
          <c:val>
            <c:numRef>
              <c:f>Pivots!$B$24:$B$29</c:f>
              <c:numCache>
                <c:formatCode>General</c:formatCode>
                <c:ptCount val="5"/>
                <c:pt idx="0">
                  <c:v>50.597500000000004</c:v>
                </c:pt>
                <c:pt idx="1">
                  <c:v>337.97</c:v>
                </c:pt>
                <c:pt idx="2">
                  <c:v>151.95249999999999</c:v>
                </c:pt>
                <c:pt idx="3">
                  <c:v>38.49</c:v>
                </c:pt>
                <c:pt idx="4">
                  <c:v>389.83</c:v>
                </c:pt>
              </c:numCache>
            </c:numRef>
          </c:val>
        </c:ser>
        <c:ser>
          <c:idx val="1"/>
          <c:order val="1"/>
          <c:tx>
            <c:strRef>
              <c:f>Pivots!$C$23</c:f>
              <c:strCache>
                <c:ptCount val="1"/>
                <c:pt idx="0">
                  <c:v>Available</c:v>
                </c:pt>
              </c:strCache>
            </c:strRef>
          </c:tx>
          <c:spPr>
            <a:solidFill>
              <a:schemeClr val="accent5">
                <a:lumMod val="60000"/>
                <a:lumOff val="40000"/>
              </a:schemeClr>
            </a:solidFill>
            <a:ln>
              <a:noFill/>
            </a:ln>
            <a:effectLst/>
          </c:spPr>
          <c:invertIfNegative val="0"/>
          <c:cat>
            <c:strRef>
              <c:f>Pivots!$A$24:$A$29</c:f>
              <c:strCache>
                <c:ptCount val="5"/>
                <c:pt idx="0">
                  <c:v>Rafah</c:v>
                </c:pt>
                <c:pt idx="1">
                  <c:v>Khan Yunis</c:v>
                </c:pt>
                <c:pt idx="2">
                  <c:v>Deir al Balah</c:v>
                </c:pt>
                <c:pt idx="3">
                  <c:v>Gaza</c:v>
                </c:pt>
                <c:pt idx="4">
                  <c:v>North Gaza</c:v>
                </c:pt>
              </c:strCache>
            </c:strRef>
          </c:cat>
          <c:val>
            <c:numRef>
              <c:f>Pivots!$C$24:$C$29</c:f>
              <c:numCache>
                <c:formatCode>General</c:formatCode>
                <c:ptCount val="5"/>
                <c:pt idx="0">
                  <c:v>2169.0700000000002</c:v>
                </c:pt>
                <c:pt idx="1">
                  <c:v>3242.24</c:v>
                </c:pt>
                <c:pt idx="2">
                  <c:v>5213.38</c:v>
                </c:pt>
                <c:pt idx="3">
                  <c:v>3679.5400000000004</c:v>
                </c:pt>
                <c:pt idx="4">
                  <c:v>4151.17</c:v>
                </c:pt>
              </c:numCache>
            </c:numRef>
          </c:val>
        </c:ser>
        <c:dLbls>
          <c:showLegendKey val="0"/>
          <c:showVal val="0"/>
          <c:showCatName val="0"/>
          <c:showSerName val="0"/>
          <c:showPercent val="0"/>
          <c:showBubbleSize val="0"/>
        </c:dLbls>
        <c:gapWidth val="50"/>
        <c:overlap val="100"/>
        <c:axId val="528668736"/>
        <c:axId val="528670304"/>
      </c:barChart>
      <c:catAx>
        <c:axId val="528668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670304"/>
        <c:crosses val="autoZero"/>
        <c:auto val="1"/>
        <c:lblAlgn val="ctr"/>
        <c:lblOffset val="100"/>
        <c:noMultiLvlLbl val="0"/>
      </c:catAx>
      <c:valAx>
        <c:axId val="5286703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668736"/>
        <c:crosses val="autoZero"/>
        <c:crossBetween val="between"/>
      </c:valAx>
      <c:spPr>
        <a:noFill/>
        <a:ln>
          <a:noFill/>
        </a:ln>
        <a:effectLst/>
      </c:spPr>
    </c:plotArea>
    <c:legend>
      <c:legendPos val="r"/>
      <c:layout>
        <c:manualLayout>
          <c:xMode val="edge"/>
          <c:yMode val="edge"/>
          <c:x val="0.8256409326005465"/>
          <c:y val="0.34133183352080992"/>
          <c:w val="0.17435906739945348"/>
          <c:h val="0.321430821147356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pivotSource>
    <c:name>[Gaza WASH Assessment_raw data_GVC_edited.xlsx]Pivots!PivotTable67</c:name>
    <c:fmtId val="-1"/>
  </c:pivotSource>
  <c:chart>
    <c:title>
      <c:layout>
        <c:manualLayout>
          <c:xMode val="edge"/>
          <c:yMode val="edge"/>
          <c:x val="0.38968756827616341"/>
          <c:y val="1.5625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5"/>
          </a:solidFill>
          <a:ln>
            <a:noFill/>
          </a:ln>
          <a:effectLst/>
        </c:spPr>
        <c:marker>
          <c:symbol val="none"/>
        </c:marker>
      </c:pivotFmt>
      <c:pivotFmt>
        <c:idx val="1"/>
        <c:spPr>
          <a:solidFill>
            <a:schemeClr val="accent5"/>
          </a:solidFill>
          <a:ln>
            <a:noFill/>
          </a:ln>
          <a:effectLst/>
        </c:spPr>
        <c:marker>
          <c:symbol val="none"/>
        </c:marker>
      </c:pivotFmt>
      <c:pivotFmt>
        <c:idx val="2"/>
        <c:spPr>
          <a:solidFill>
            <a:schemeClr val="accent5"/>
          </a:solidFill>
          <a:ln>
            <a:noFill/>
          </a:ln>
          <a:effectLst/>
        </c:spPr>
        <c:marker>
          <c:symbol val="none"/>
        </c:marker>
      </c:pivotFmt>
      <c:pivotFmt>
        <c:idx val="3"/>
        <c:spPr>
          <a:solidFill>
            <a:schemeClr val="accent5"/>
          </a:solidFill>
          <a:ln>
            <a:noFill/>
          </a:ln>
          <a:effectLst/>
        </c:spPr>
        <c:marker>
          <c:symbol val="none"/>
        </c:marker>
      </c:pivotFmt>
      <c:pivotFmt>
        <c:idx val="4"/>
        <c:spPr>
          <a:solidFill>
            <a:schemeClr val="accent5"/>
          </a:solidFill>
          <a:ln>
            <a:noFill/>
          </a:ln>
          <a:effectLst/>
        </c:spPr>
        <c:marker>
          <c:symbol val="none"/>
        </c:marker>
      </c:pivotFmt>
      <c:pivotFmt>
        <c:idx val="5"/>
        <c:spPr>
          <a:solidFill>
            <a:schemeClr val="accent5"/>
          </a:solidFill>
          <a:ln>
            <a:noFill/>
          </a:ln>
          <a:effectLst/>
        </c:spPr>
        <c:marker>
          <c:symbol val="none"/>
        </c:marker>
      </c:pivotFmt>
      <c:pivotFmt>
        <c:idx val="6"/>
        <c:spPr>
          <a:solidFill>
            <a:schemeClr val="accent5"/>
          </a:solidFill>
          <a:ln>
            <a:noFill/>
          </a:ln>
          <a:effectLst/>
        </c:spPr>
        <c:marker>
          <c:symbol val="none"/>
        </c:marker>
      </c:pivotFmt>
      <c:pivotFmt>
        <c:idx val="7"/>
        <c:spPr>
          <a:solidFill>
            <a:schemeClr val="accent5"/>
          </a:solidFill>
          <a:ln>
            <a:noFill/>
          </a:ln>
          <a:effectLst/>
        </c:spPr>
        <c:marker>
          <c:symbol val="none"/>
        </c:marker>
      </c:pivotFmt>
      <c:pivotFmt>
        <c:idx val="8"/>
        <c:spPr>
          <a:solidFill>
            <a:schemeClr val="accent5"/>
          </a:solidFill>
          <a:ln>
            <a:noFill/>
          </a:ln>
          <a:effectLst/>
        </c:spPr>
        <c:marker>
          <c:symbol val="none"/>
        </c:marker>
      </c:pivotFmt>
      <c:pivotFmt>
        <c:idx val="9"/>
        <c:spPr>
          <a:solidFill>
            <a:schemeClr val="accent5"/>
          </a:solidFill>
          <a:ln>
            <a:noFill/>
          </a:ln>
          <a:effectLst/>
        </c:spPr>
        <c:marker>
          <c:symbol val="none"/>
        </c:marker>
      </c:pivotFmt>
      <c:pivotFmt>
        <c:idx val="10"/>
        <c:spPr>
          <a:solidFill>
            <a:schemeClr val="accent5"/>
          </a:solidFill>
          <a:ln>
            <a:noFill/>
          </a:ln>
          <a:effectLst/>
        </c:spPr>
        <c:marker>
          <c:symbol val="none"/>
        </c:marker>
      </c:pivotFmt>
      <c:pivotFmt>
        <c:idx val="11"/>
        <c:spPr>
          <a:solidFill>
            <a:schemeClr val="accent5"/>
          </a:solidFill>
          <a:ln>
            <a:noFill/>
          </a:ln>
          <a:effectLst/>
        </c:spPr>
        <c:marker>
          <c:symbol val="none"/>
        </c:marker>
      </c:pivotFmt>
    </c:pivotFmts>
    <c:plotArea>
      <c:layout>
        <c:manualLayout>
          <c:layoutTarget val="inner"/>
          <c:xMode val="edge"/>
          <c:yMode val="edge"/>
          <c:x val="8.4811596496690914E-2"/>
          <c:y val="0.198671875"/>
          <c:w val="0.65658556390304823"/>
          <c:h val="0.62009165846456682"/>
        </c:manualLayout>
      </c:layout>
      <c:barChart>
        <c:barDir val="bar"/>
        <c:grouping val="percentStacked"/>
        <c:varyColors val="0"/>
        <c:ser>
          <c:idx val="0"/>
          <c:order val="0"/>
          <c:tx>
            <c:strRef>
              <c:f>Pivots!$AF$33:$AF$34</c:f>
              <c:strCache>
                <c:ptCount val="1"/>
                <c:pt idx="0">
                  <c:v>Good</c:v>
                </c:pt>
              </c:strCache>
            </c:strRef>
          </c:tx>
          <c:spPr>
            <a:solidFill>
              <a:schemeClr val="accent5">
                <a:shade val="58000"/>
              </a:schemeClr>
            </a:solidFill>
            <a:ln>
              <a:noFill/>
            </a:ln>
            <a:effectLst/>
          </c:spPr>
          <c:invertIfNegative val="0"/>
          <c:cat>
            <c:strRef>
              <c:f>Pivots!$AE$35:$AE$40</c:f>
              <c:strCache>
                <c:ptCount val="5"/>
                <c:pt idx="0">
                  <c:v>1</c:v>
                </c:pt>
                <c:pt idx="1">
                  <c:v>2</c:v>
                </c:pt>
                <c:pt idx="2">
                  <c:v>3</c:v>
                </c:pt>
                <c:pt idx="3">
                  <c:v>4</c:v>
                </c:pt>
                <c:pt idx="4">
                  <c:v>5</c:v>
                </c:pt>
              </c:strCache>
            </c:strRef>
          </c:cat>
          <c:val>
            <c:numRef>
              <c:f>Pivots!$AF$35:$AF$40</c:f>
              <c:numCache>
                <c:formatCode>0.00%</c:formatCode>
                <c:ptCount val="5"/>
                <c:pt idx="0">
                  <c:v>0.16846652267818574</c:v>
                </c:pt>
                <c:pt idx="1">
                  <c:v>0.21090909090909091</c:v>
                </c:pt>
                <c:pt idx="2">
                  <c:v>0.29094412331406549</c:v>
                </c:pt>
                <c:pt idx="3">
                  <c:v>0.42346208869814023</c:v>
                </c:pt>
                <c:pt idx="4">
                  <c:v>0.59437751004016059</c:v>
                </c:pt>
              </c:numCache>
            </c:numRef>
          </c:val>
        </c:ser>
        <c:ser>
          <c:idx val="1"/>
          <c:order val="1"/>
          <c:tx>
            <c:strRef>
              <c:f>Pivots!$AG$33:$AG$34</c:f>
              <c:strCache>
                <c:ptCount val="1"/>
                <c:pt idx="0">
                  <c:v>medium</c:v>
                </c:pt>
              </c:strCache>
            </c:strRef>
          </c:tx>
          <c:spPr>
            <a:solidFill>
              <a:schemeClr val="accent5">
                <a:shade val="86000"/>
              </a:schemeClr>
            </a:solidFill>
            <a:ln>
              <a:noFill/>
            </a:ln>
            <a:effectLst/>
          </c:spPr>
          <c:invertIfNegative val="0"/>
          <c:cat>
            <c:strRef>
              <c:f>Pivots!$AE$35:$AE$40</c:f>
              <c:strCache>
                <c:ptCount val="5"/>
                <c:pt idx="0">
                  <c:v>1</c:v>
                </c:pt>
                <c:pt idx="1">
                  <c:v>2</c:v>
                </c:pt>
                <c:pt idx="2">
                  <c:v>3</c:v>
                </c:pt>
                <c:pt idx="3">
                  <c:v>4</c:v>
                </c:pt>
                <c:pt idx="4">
                  <c:v>5</c:v>
                </c:pt>
              </c:strCache>
            </c:strRef>
          </c:cat>
          <c:val>
            <c:numRef>
              <c:f>Pivots!$AG$35:$AG$40</c:f>
              <c:numCache>
                <c:formatCode>0.00%</c:formatCode>
                <c:ptCount val="5"/>
                <c:pt idx="0">
                  <c:v>0.20734341252699784</c:v>
                </c:pt>
                <c:pt idx="1">
                  <c:v>0.26181818181818184</c:v>
                </c:pt>
                <c:pt idx="2">
                  <c:v>0.33333333333333331</c:v>
                </c:pt>
                <c:pt idx="3">
                  <c:v>0.25608011444921314</c:v>
                </c:pt>
                <c:pt idx="4">
                  <c:v>0.22757697456492637</c:v>
                </c:pt>
              </c:numCache>
            </c:numRef>
          </c:val>
        </c:ser>
        <c:ser>
          <c:idx val="2"/>
          <c:order val="2"/>
          <c:tx>
            <c:strRef>
              <c:f>Pivots!$AH$33:$AH$34</c:f>
              <c:strCache>
                <c:ptCount val="1"/>
                <c:pt idx="0">
                  <c:v>Poor</c:v>
                </c:pt>
              </c:strCache>
            </c:strRef>
          </c:tx>
          <c:spPr>
            <a:solidFill>
              <a:schemeClr val="accent6">
                <a:lumMod val="20000"/>
                <a:lumOff val="80000"/>
              </a:schemeClr>
            </a:solidFill>
            <a:ln>
              <a:noFill/>
            </a:ln>
            <a:effectLst/>
          </c:spPr>
          <c:invertIfNegative val="0"/>
          <c:cat>
            <c:strRef>
              <c:f>Pivots!$AE$35:$AE$40</c:f>
              <c:strCache>
                <c:ptCount val="5"/>
                <c:pt idx="0">
                  <c:v>1</c:v>
                </c:pt>
                <c:pt idx="1">
                  <c:v>2</c:v>
                </c:pt>
                <c:pt idx="2">
                  <c:v>3</c:v>
                </c:pt>
                <c:pt idx="3">
                  <c:v>4</c:v>
                </c:pt>
                <c:pt idx="4">
                  <c:v>5</c:v>
                </c:pt>
              </c:strCache>
            </c:strRef>
          </c:cat>
          <c:val>
            <c:numRef>
              <c:f>Pivots!$AH$35:$AH$40</c:f>
              <c:numCache>
                <c:formatCode>0.00%</c:formatCode>
                <c:ptCount val="5"/>
                <c:pt idx="0">
                  <c:v>0.36069114470842334</c:v>
                </c:pt>
                <c:pt idx="1">
                  <c:v>0.29454545454545455</c:v>
                </c:pt>
                <c:pt idx="2">
                  <c:v>0.21579961464354527</c:v>
                </c:pt>
                <c:pt idx="3">
                  <c:v>0.20457796852646637</c:v>
                </c:pt>
                <c:pt idx="4">
                  <c:v>0.10977242302543508</c:v>
                </c:pt>
              </c:numCache>
            </c:numRef>
          </c:val>
        </c:ser>
        <c:ser>
          <c:idx val="3"/>
          <c:order val="3"/>
          <c:tx>
            <c:strRef>
              <c:f>Pivots!$AI$33:$AI$34</c:f>
              <c:strCache>
                <c:ptCount val="1"/>
                <c:pt idx="0">
                  <c:v>non existing</c:v>
                </c:pt>
              </c:strCache>
            </c:strRef>
          </c:tx>
          <c:spPr>
            <a:solidFill>
              <a:schemeClr val="accent6">
                <a:lumMod val="60000"/>
                <a:lumOff val="40000"/>
              </a:schemeClr>
            </a:solidFill>
            <a:ln>
              <a:noFill/>
            </a:ln>
            <a:effectLst/>
          </c:spPr>
          <c:invertIfNegative val="0"/>
          <c:cat>
            <c:strRef>
              <c:f>Pivots!$AE$35:$AE$40</c:f>
              <c:strCache>
                <c:ptCount val="5"/>
                <c:pt idx="0">
                  <c:v>1</c:v>
                </c:pt>
                <c:pt idx="1">
                  <c:v>2</c:v>
                </c:pt>
                <c:pt idx="2">
                  <c:v>3</c:v>
                </c:pt>
                <c:pt idx="3">
                  <c:v>4</c:v>
                </c:pt>
                <c:pt idx="4">
                  <c:v>5</c:v>
                </c:pt>
              </c:strCache>
            </c:strRef>
          </c:cat>
          <c:val>
            <c:numRef>
              <c:f>Pivots!$AI$35:$AI$40</c:f>
              <c:numCache>
                <c:formatCode>0.00%</c:formatCode>
                <c:ptCount val="5"/>
                <c:pt idx="0">
                  <c:v>0.26349892008639308</c:v>
                </c:pt>
                <c:pt idx="1">
                  <c:v>0.23272727272727273</c:v>
                </c:pt>
                <c:pt idx="2">
                  <c:v>0.15992292870905589</c:v>
                </c:pt>
                <c:pt idx="3">
                  <c:v>0.11587982832618025</c:v>
                </c:pt>
                <c:pt idx="4">
                  <c:v>6.8273092369477914E-2</c:v>
                </c:pt>
              </c:numCache>
            </c:numRef>
          </c:val>
        </c:ser>
        <c:dLbls>
          <c:showLegendKey val="0"/>
          <c:showVal val="0"/>
          <c:showCatName val="0"/>
          <c:showSerName val="0"/>
          <c:showPercent val="0"/>
          <c:showBubbleSize val="0"/>
        </c:dLbls>
        <c:gapWidth val="50"/>
        <c:overlap val="100"/>
        <c:axId val="529724584"/>
        <c:axId val="529724976"/>
      </c:barChart>
      <c:catAx>
        <c:axId val="529724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24976"/>
        <c:crosses val="autoZero"/>
        <c:auto val="1"/>
        <c:lblAlgn val="ctr"/>
        <c:lblOffset val="100"/>
        <c:noMultiLvlLbl val="0"/>
      </c:catAx>
      <c:valAx>
        <c:axId val="5297249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24584"/>
        <c:crosses val="autoZero"/>
        <c:crossBetween val="between"/>
        <c:majorUnit val="0.2"/>
      </c:valAx>
      <c:spPr>
        <a:noFill/>
        <a:ln>
          <a:noFill/>
        </a:ln>
        <a:effectLst/>
      </c:spPr>
    </c:plotArea>
    <c:legend>
      <c:legendPos val="r"/>
      <c:layout>
        <c:manualLayout>
          <c:xMode val="edge"/>
          <c:yMode val="edge"/>
          <c:x val="0.78534507525646047"/>
          <c:y val="0.21781496062992126"/>
          <c:w val="0.188436877988023"/>
          <c:h val="0.6146038385826770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pivotSource>
    <c:name>[Gaza WASH Assessment_raw data_GVC_edited.xlsx]Pivots!PivotTable12</c:name>
    <c:fmtId val="-1"/>
  </c:pivotSource>
  <c:chart>
    <c:title>
      <c:layout>
        <c:manualLayout>
          <c:xMode val="edge"/>
          <c:yMode val="edge"/>
          <c:x val="0.38757515030060119"/>
          <c:y val="2.5423728813559324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5"/>
          </a:solidFill>
          <a:ln>
            <a:noFill/>
          </a:ln>
          <a:effectLst/>
        </c:spPr>
        <c:marker>
          <c:symbol val="none"/>
        </c:marker>
      </c:pivotFmt>
      <c:pivotFmt>
        <c:idx val="1"/>
        <c:spPr>
          <a:solidFill>
            <a:schemeClr val="accent5"/>
          </a:solidFill>
          <a:ln>
            <a:noFill/>
          </a:ln>
          <a:effectLst/>
        </c:spPr>
        <c:marker>
          <c:symbol val="none"/>
        </c:marker>
      </c:pivotFmt>
      <c:pivotFmt>
        <c:idx val="2"/>
        <c:spPr>
          <a:solidFill>
            <a:schemeClr val="accent5"/>
          </a:solidFill>
          <a:ln>
            <a:noFill/>
          </a:ln>
          <a:effectLst/>
        </c:spPr>
        <c:marker>
          <c:symbol val="none"/>
        </c:marker>
      </c:pivotFmt>
      <c:pivotFmt>
        <c:idx val="3"/>
        <c:spPr>
          <a:solidFill>
            <a:schemeClr val="accent5"/>
          </a:solidFill>
          <a:ln>
            <a:noFill/>
          </a:ln>
          <a:effectLst/>
        </c:spPr>
        <c:marker>
          <c:symbol val="none"/>
        </c:marker>
      </c:pivotFmt>
      <c:pivotFmt>
        <c:idx val="4"/>
        <c:spPr>
          <a:solidFill>
            <a:schemeClr val="accent5"/>
          </a:solidFill>
          <a:ln>
            <a:noFill/>
          </a:ln>
          <a:effectLst/>
        </c:spPr>
        <c:marker>
          <c:symbol val="none"/>
        </c:marker>
      </c:pivotFmt>
      <c:pivotFmt>
        <c:idx val="5"/>
        <c:spPr>
          <a:solidFill>
            <a:schemeClr val="accent5"/>
          </a:solidFill>
          <a:ln>
            <a:noFill/>
          </a:ln>
          <a:effectLst/>
        </c:spPr>
        <c:marker>
          <c:symbol val="none"/>
        </c:marker>
      </c:pivotFmt>
      <c:pivotFmt>
        <c:idx val="6"/>
        <c:spPr>
          <a:solidFill>
            <a:schemeClr val="accent5"/>
          </a:solidFill>
          <a:ln>
            <a:noFill/>
          </a:ln>
          <a:effectLst/>
        </c:spPr>
        <c:marker>
          <c:symbol val="none"/>
        </c:marker>
      </c:pivotFmt>
      <c:pivotFmt>
        <c:idx val="7"/>
        <c:spPr>
          <a:solidFill>
            <a:schemeClr val="accent5"/>
          </a:solidFill>
          <a:ln>
            <a:noFill/>
          </a:ln>
          <a:effectLst/>
        </c:spPr>
        <c:marker>
          <c:symbol val="none"/>
        </c:marker>
      </c:pivotFmt>
      <c:pivotFmt>
        <c:idx val="8"/>
        <c:spPr>
          <a:solidFill>
            <a:schemeClr val="accent5"/>
          </a:solidFill>
          <a:ln>
            <a:noFill/>
          </a:ln>
          <a:effectLst/>
        </c:spPr>
        <c:marker>
          <c:symbol val="none"/>
        </c:marker>
      </c:pivotFmt>
      <c:pivotFmt>
        <c:idx val="9"/>
        <c:spPr>
          <a:solidFill>
            <a:schemeClr val="accent5"/>
          </a:solidFill>
          <a:ln>
            <a:noFill/>
          </a:ln>
          <a:effectLst/>
        </c:spPr>
        <c:marker>
          <c:symbol val="none"/>
        </c:marker>
      </c:pivotFmt>
      <c:pivotFmt>
        <c:idx val="10"/>
        <c:spPr>
          <a:solidFill>
            <a:schemeClr val="accent5"/>
          </a:solidFill>
          <a:ln>
            <a:noFill/>
          </a:ln>
          <a:effectLst/>
        </c:spPr>
        <c:marker>
          <c:symbol val="none"/>
        </c:marker>
      </c:pivotFmt>
      <c:pivotFmt>
        <c:idx val="11"/>
        <c:spPr>
          <a:solidFill>
            <a:schemeClr val="accent5"/>
          </a:solidFill>
          <a:ln>
            <a:noFill/>
          </a:ln>
          <a:effectLst/>
        </c:spPr>
        <c:marker>
          <c:symbol val="none"/>
        </c:marker>
      </c:pivotFmt>
    </c:pivotFmts>
    <c:plotArea>
      <c:layout>
        <c:manualLayout>
          <c:layoutTarget val="inner"/>
          <c:xMode val="edge"/>
          <c:yMode val="edge"/>
          <c:x val="0.25542020922598346"/>
          <c:y val="0.21550847457627118"/>
          <c:w val="0.52097569000456134"/>
          <c:h val="0.58789603630054721"/>
        </c:manualLayout>
      </c:layout>
      <c:barChart>
        <c:barDir val="bar"/>
        <c:grouping val="percentStacked"/>
        <c:varyColors val="0"/>
        <c:ser>
          <c:idx val="0"/>
          <c:order val="0"/>
          <c:tx>
            <c:strRef>
              <c:f>Pivots!$Q$33:$Q$34</c:f>
              <c:strCache>
                <c:ptCount val="1"/>
                <c:pt idx="0">
                  <c:v>Good</c:v>
                </c:pt>
              </c:strCache>
            </c:strRef>
          </c:tx>
          <c:spPr>
            <a:solidFill>
              <a:schemeClr val="accent5">
                <a:shade val="58000"/>
              </a:schemeClr>
            </a:solidFill>
            <a:ln>
              <a:noFill/>
            </a:ln>
            <a:effectLst/>
          </c:spPr>
          <c:invertIfNegative val="0"/>
          <c:cat>
            <c:strRef>
              <c:f>Pivots!$P$35:$P$39</c:f>
              <c:strCache>
                <c:ptCount val="4"/>
                <c:pt idx="0">
                  <c:v>Unaffected</c:v>
                </c:pt>
                <c:pt idx="1">
                  <c:v>IDP</c:v>
                </c:pt>
                <c:pt idx="2">
                  <c:v>War-affected</c:v>
                </c:pt>
                <c:pt idx="3">
                  <c:v>WASH affected</c:v>
                </c:pt>
              </c:strCache>
            </c:strRef>
          </c:cat>
          <c:val>
            <c:numRef>
              <c:f>Pivots!$Q$35:$Q$39</c:f>
              <c:numCache>
                <c:formatCode>0.00%</c:formatCode>
                <c:ptCount val="4"/>
                <c:pt idx="0">
                  <c:v>0.61025641025641031</c:v>
                </c:pt>
                <c:pt idx="1">
                  <c:v>0.42148760330578511</c:v>
                </c:pt>
                <c:pt idx="2">
                  <c:v>0.2662473794549266</c:v>
                </c:pt>
                <c:pt idx="3">
                  <c:v>0.14510278113663846</c:v>
                </c:pt>
              </c:numCache>
            </c:numRef>
          </c:val>
        </c:ser>
        <c:ser>
          <c:idx val="1"/>
          <c:order val="1"/>
          <c:tx>
            <c:strRef>
              <c:f>Pivots!$R$33:$R$34</c:f>
              <c:strCache>
                <c:ptCount val="1"/>
                <c:pt idx="0">
                  <c:v>medium</c:v>
                </c:pt>
              </c:strCache>
            </c:strRef>
          </c:tx>
          <c:spPr>
            <a:solidFill>
              <a:schemeClr val="accent5">
                <a:shade val="86000"/>
              </a:schemeClr>
            </a:solidFill>
            <a:ln>
              <a:noFill/>
            </a:ln>
            <a:effectLst/>
          </c:spPr>
          <c:invertIfNegative val="0"/>
          <c:cat>
            <c:strRef>
              <c:f>Pivots!$P$35:$P$39</c:f>
              <c:strCache>
                <c:ptCount val="4"/>
                <c:pt idx="0">
                  <c:v>Unaffected</c:v>
                </c:pt>
                <c:pt idx="1">
                  <c:v>IDP</c:v>
                </c:pt>
                <c:pt idx="2">
                  <c:v>War-affected</c:v>
                </c:pt>
                <c:pt idx="3">
                  <c:v>WASH affected</c:v>
                </c:pt>
              </c:strCache>
            </c:strRef>
          </c:cat>
          <c:val>
            <c:numRef>
              <c:f>Pivots!$R$35:$R$39</c:f>
              <c:numCache>
                <c:formatCode>0.00%</c:formatCode>
                <c:ptCount val="4"/>
                <c:pt idx="0">
                  <c:v>0.25641025641025639</c:v>
                </c:pt>
                <c:pt idx="1">
                  <c:v>0.23801652892561984</c:v>
                </c:pt>
                <c:pt idx="2">
                  <c:v>0.29350104821802936</c:v>
                </c:pt>
                <c:pt idx="3">
                  <c:v>0.19588875453446192</c:v>
                </c:pt>
              </c:numCache>
            </c:numRef>
          </c:val>
        </c:ser>
        <c:ser>
          <c:idx val="2"/>
          <c:order val="2"/>
          <c:tx>
            <c:strRef>
              <c:f>Pivots!$S$33:$S$34</c:f>
              <c:strCache>
                <c:ptCount val="1"/>
                <c:pt idx="0">
                  <c:v>Poor</c:v>
                </c:pt>
              </c:strCache>
            </c:strRef>
          </c:tx>
          <c:spPr>
            <a:solidFill>
              <a:schemeClr val="accent6">
                <a:lumMod val="20000"/>
                <a:lumOff val="80000"/>
              </a:schemeClr>
            </a:solidFill>
            <a:ln>
              <a:noFill/>
            </a:ln>
            <a:effectLst/>
          </c:spPr>
          <c:invertIfNegative val="0"/>
          <c:cat>
            <c:strRef>
              <c:f>Pivots!$P$35:$P$39</c:f>
              <c:strCache>
                <c:ptCount val="4"/>
                <c:pt idx="0">
                  <c:v>Unaffected</c:v>
                </c:pt>
                <c:pt idx="1">
                  <c:v>IDP</c:v>
                </c:pt>
                <c:pt idx="2">
                  <c:v>War-affected</c:v>
                </c:pt>
                <c:pt idx="3">
                  <c:v>WASH affected</c:v>
                </c:pt>
              </c:strCache>
            </c:strRef>
          </c:cat>
          <c:val>
            <c:numRef>
              <c:f>Pivots!$S$35:$S$39</c:f>
              <c:numCache>
                <c:formatCode>0.00%</c:formatCode>
                <c:ptCount val="4"/>
                <c:pt idx="0">
                  <c:v>0.10256410256410256</c:v>
                </c:pt>
                <c:pt idx="1">
                  <c:v>0.19669421487603306</c:v>
                </c:pt>
                <c:pt idx="2">
                  <c:v>0.25157232704402516</c:v>
                </c:pt>
                <c:pt idx="3">
                  <c:v>0.37847642079806532</c:v>
                </c:pt>
              </c:numCache>
            </c:numRef>
          </c:val>
        </c:ser>
        <c:ser>
          <c:idx val="3"/>
          <c:order val="3"/>
          <c:tx>
            <c:strRef>
              <c:f>Pivots!$T$33:$T$34</c:f>
              <c:strCache>
                <c:ptCount val="1"/>
                <c:pt idx="0">
                  <c:v>non existing</c:v>
                </c:pt>
              </c:strCache>
            </c:strRef>
          </c:tx>
          <c:spPr>
            <a:solidFill>
              <a:schemeClr val="accent6">
                <a:lumMod val="60000"/>
                <a:lumOff val="40000"/>
              </a:schemeClr>
            </a:solidFill>
            <a:ln>
              <a:noFill/>
            </a:ln>
            <a:effectLst/>
          </c:spPr>
          <c:invertIfNegative val="0"/>
          <c:cat>
            <c:strRef>
              <c:f>Pivots!$P$35:$P$39</c:f>
              <c:strCache>
                <c:ptCount val="4"/>
                <c:pt idx="0">
                  <c:v>Unaffected</c:v>
                </c:pt>
                <c:pt idx="1">
                  <c:v>IDP</c:v>
                </c:pt>
                <c:pt idx="2">
                  <c:v>War-affected</c:v>
                </c:pt>
                <c:pt idx="3">
                  <c:v>WASH affected</c:v>
                </c:pt>
              </c:strCache>
            </c:strRef>
          </c:cat>
          <c:val>
            <c:numRef>
              <c:f>Pivots!$T$35:$T$39</c:f>
              <c:numCache>
                <c:formatCode>0.00%</c:formatCode>
                <c:ptCount val="4"/>
                <c:pt idx="0">
                  <c:v>3.0769230769230771E-2</c:v>
                </c:pt>
                <c:pt idx="1">
                  <c:v>0.14380165289256197</c:v>
                </c:pt>
                <c:pt idx="2">
                  <c:v>0.18867924528301888</c:v>
                </c:pt>
                <c:pt idx="3">
                  <c:v>0.28053204353083433</c:v>
                </c:pt>
              </c:numCache>
            </c:numRef>
          </c:val>
        </c:ser>
        <c:dLbls>
          <c:showLegendKey val="0"/>
          <c:showVal val="0"/>
          <c:showCatName val="0"/>
          <c:showSerName val="0"/>
          <c:showPercent val="0"/>
          <c:showBubbleSize val="0"/>
        </c:dLbls>
        <c:gapWidth val="50"/>
        <c:overlap val="100"/>
        <c:axId val="529727720"/>
        <c:axId val="529718312"/>
      </c:barChart>
      <c:catAx>
        <c:axId val="529727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18312"/>
        <c:crosses val="autoZero"/>
        <c:auto val="1"/>
        <c:lblAlgn val="ctr"/>
        <c:lblOffset val="100"/>
        <c:noMultiLvlLbl val="0"/>
      </c:catAx>
      <c:valAx>
        <c:axId val="5297183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27720"/>
        <c:crosses val="autoZero"/>
        <c:crossBetween val="between"/>
        <c:majorUnit val="0.2"/>
      </c:valAx>
      <c:spPr>
        <a:noFill/>
        <a:ln>
          <a:noFill/>
        </a:ln>
        <a:effectLst/>
      </c:spPr>
    </c:plotArea>
    <c:legend>
      <c:legendPos val="r"/>
      <c:layout>
        <c:manualLayout>
          <c:xMode val="edge"/>
          <c:yMode val="edge"/>
          <c:x val="0.82131472042948539"/>
          <c:y val="0.17695182170025356"/>
          <c:w val="0.17868527957051461"/>
          <c:h val="0.6497397571066327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en-US" sz="1100" b="0">
                <a:latin typeface="Arial Narrow" panose="020B0606020202030204" pitchFamily="34" charset="0"/>
              </a:rPr>
              <a:t>% of HHs without or with insufficient</a:t>
            </a:r>
            <a:r>
              <a:rPr lang="en-US" sz="1100" b="0" baseline="0">
                <a:latin typeface="Arial Narrow" panose="020B0606020202030204" pitchFamily="34" charset="0"/>
              </a:rPr>
              <a:t> toilets</a:t>
            </a:r>
            <a:endParaRPr lang="en-US" sz="1100" b="0">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manualLayout>
          <c:layoutTarget val="inner"/>
          <c:xMode val="edge"/>
          <c:yMode val="edge"/>
          <c:x val="0.11593583690503892"/>
          <c:y val="0.22194649088794102"/>
          <c:w val="0.84211945384805931"/>
          <c:h val="0.451892786375724"/>
        </c:manualLayout>
      </c:layout>
      <c:barChart>
        <c:barDir val="col"/>
        <c:grouping val="stacked"/>
        <c:varyColors val="0"/>
        <c:ser>
          <c:idx val="4"/>
          <c:order val="4"/>
          <c:tx>
            <c:strRef>
              <c:f>SanAcc!$F$3</c:f>
              <c:strCache>
                <c:ptCount val="1"/>
                <c:pt idx="0">
                  <c:v>% of HHs (Without)</c:v>
                </c:pt>
              </c:strCache>
            </c:strRef>
          </c:tx>
          <c:spPr>
            <a:solidFill>
              <a:schemeClr val="accent6"/>
            </a:solidFill>
            <a:ln>
              <a:noFill/>
            </a:ln>
            <a:effectLst/>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SanAcc!$A$4:$A$9</c:f>
              <c:strCache>
                <c:ptCount val="6"/>
                <c:pt idx="0">
                  <c:v>North</c:v>
                </c:pt>
                <c:pt idx="1">
                  <c:v>Gaza</c:v>
                </c:pt>
                <c:pt idx="2">
                  <c:v>Middle Area</c:v>
                </c:pt>
                <c:pt idx="3">
                  <c:v>Khan Younis</c:v>
                </c:pt>
                <c:pt idx="4">
                  <c:v>Rafah</c:v>
                </c:pt>
                <c:pt idx="5">
                  <c:v>Average</c:v>
                </c:pt>
              </c:strCache>
            </c:strRef>
          </c:cat>
          <c:val>
            <c:numRef>
              <c:f>SanAcc!$F$4:$F$9</c:f>
              <c:numCache>
                <c:formatCode>0.0%</c:formatCode>
                <c:ptCount val="6"/>
                <c:pt idx="0">
                  <c:v>8.8999999999999999E-3</c:v>
                </c:pt>
                <c:pt idx="1">
                  <c:v>1.21E-2</c:v>
                </c:pt>
                <c:pt idx="2">
                  <c:v>4.5999999999999999E-3</c:v>
                </c:pt>
                <c:pt idx="3">
                  <c:v>1.9400000000000001E-2</c:v>
                </c:pt>
                <c:pt idx="4">
                  <c:v>5.5999999999999999E-3</c:v>
                </c:pt>
                <c:pt idx="5">
                  <c:v>0.01</c:v>
                </c:pt>
              </c:numCache>
            </c:numRef>
          </c:val>
        </c:ser>
        <c:ser>
          <c:idx val="8"/>
          <c:order val="8"/>
          <c:tx>
            <c:strRef>
              <c:f>SanAcc!$J$3</c:f>
              <c:strCache>
                <c:ptCount val="1"/>
                <c:pt idx="0">
                  <c:v>% of HHs (Insufficient)</c:v>
                </c:pt>
              </c:strCache>
            </c:strRef>
          </c:tx>
          <c:spPr>
            <a:solidFill>
              <a:schemeClr val="accent6">
                <a:tint val="44000"/>
              </a:schemeClr>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SanAcc!$A$4:$A$9</c:f>
              <c:strCache>
                <c:ptCount val="6"/>
                <c:pt idx="0">
                  <c:v>North</c:v>
                </c:pt>
                <c:pt idx="1">
                  <c:v>Gaza</c:v>
                </c:pt>
                <c:pt idx="2">
                  <c:v>Middle Area</c:v>
                </c:pt>
                <c:pt idx="3">
                  <c:v>Khan Younis</c:v>
                </c:pt>
                <c:pt idx="4">
                  <c:v>Rafah</c:v>
                </c:pt>
                <c:pt idx="5">
                  <c:v>Average</c:v>
                </c:pt>
              </c:strCache>
            </c:strRef>
          </c:cat>
          <c:val>
            <c:numRef>
              <c:f>SanAcc!$J$4:$J$9</c:f>
              <c:numCache>
                <c:formatCode>0%</c:formatCode>
                <c:ptCount val="6"/>
                <c:pt idx="0">
                  <c:v>0.1036</c:v>
                </c:pt>
                <c:pt idx="1">
                  <c:v>0.1026</c:v>
                </c:pt>
                <c:pt idx="2">
                  <c:v>0.1037</c:v>
                </c:pt>
                <c:pt idx="3">
                  <c:v>0.1086</c:v>
                </c:pt>
                <c:pt idx="4">
                  <c:v>0.13880000000000001</c:v>
                </c:pt>
                <c:pt idx="5">
                  <c:v>0.11</c:v>
                </c:pt>
              </c:numCache>
            </c:numRef>
          </c:val>
        </c:ser>
        <c:dLbls>
          <c:showLegendKey val="0"/>
          <c:showVal val="0"/>
          <c:showCatName val="0"/>
          <c:showSerName val="0"/>
          <c:showPercent val="0"/>
          <c:showBubbleSize val="0"/>
        </c:dLbls>
        <c:gapWidth val="100"/>
        <c:overlap val="100"/>
        <c:axId val="529726544"/>
        <c:axId val="529717136"/>
        <c:extLst>
          <c:ext xmlns:c15="http://schemas.microsoft.com/office/drawing/2012/chart" uri="{02D57815-91ED-43cb-92C2-25804820EDAC}">
            <c15:filteredBarSeries>
              <c15:ser>
                <c:idx val="0"/>
                <c:order val="0"/>
                <c:tx>
                  <c:strRef>
                    <c:extLst>
                      <c:ext uri="{02D57815-91ED-43cb-92C2-25804820EDAC}">
                        <c15:formulaRef>
                          <c15:sqref>SanAcc!$B$3</c15:sqref>
                        </c15:formulaRef>
                      </c:ext>
                    </c:extLst>
                    <c:strCache>
                      <c:ptCount val="1"/>
                      <c:pt idx="0">
                        <c:v>Total # of HHs</c:v>
                      </c:pt>
                    </c:strCache>
                  </c:strRef>
                </c:tx>
                <c:spPr>
                  <a:solidFill>
                    <a:schemeClr val="accent6">
                      <a:shade val="44000"/>
                    </a:schemeClr>
                  </a:solidFill>
                  <a:ln>
                    <a:noFill/>
                  </a:ln>
                  <a:effectLst/>
                </c:spPr>
                <c:invertIfNegative val="0"/>
                <c:cat>
                  <c:strRef>
                    <c:extLst>
                      <c:ext uri="{02D57815-91ED-43cb-92C2-25804820EDAC}">
                        <c15:formulaRef>
                          <c15:sqref>SanAcc!$A$4:$A$9</c15:sqref>
                        </c15:formulaRef>
                      </c:ext>
                    </c:extLst>
                    <c:strCache>
                      <c:ptCount val="6"/>
                      <c:pt idx="0">
                        <c:v>North</c:v>
                      </c:pt>
                      <c:pt idx="1">
                        <c:v>Gaza</c:v>
                      </c:pt>
                      <c:pt idx="2">
                        <c:v>Middle Area</c:v>
                      </c:pt>
                      <c:pt idx="3">
                        <c:v>Khan Younis</c:v>
                      </c:pt>
                      <c:pt idx="4">
                        <c:v>Rafah</c:v>
                      </c:pt>
                      <c:pt idx="5">
                        <c:v>Average</c:v>
                      </c:pt>
                    </c:strCache>
                  </c:strRef>
                </c:cat>
                <c:val>
                  <c:numRef>
                    <c:extLst>
                      <c:ext uri="{02D57815-91ED-43cb-92C2-25804820EDAC}">
                        <c15:formulaRef>
                          <c15:sqref>SanAcc!$B$4:$B$9</c15:sqref>
                        </c15:formulaRef>
                      </c:ext>
                    </c:extLst>
                    <c:numCache>
                      <c:formatCode>General</c:formatCode>
                      <c:ptCount val="6"/>
                      <c:pt idx="0">
                        <c:v>676</c:v>
                      </c:pt>
                      <c:pt idx="1">
                        <c:v>906</c:v>
                      </c:pt>
                      <c:pt idx="2">
                        <c:v>434</c:v>
                      </c:pt>
                      <c:pt idx="3">
                        <c:v>617</c:v>
                      </c:pt>
                      <c:pt idx="4">
                        <c:v>533</c:v>
                      </c:pt>
                      <c:pt idx="5">
                        <c:v>3166</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SanAcc!$C$3</c15:sqref>
                        </c15:formulaRef>
                      </c:ext>
                    </c:extLst>
                    <c:strCache>
                      <c:ptCount val="1"/>
                      <c:pt idx="0">
                        <c:v># of HHs</c:v>
                      </c:pt>
                    </c:strCache>
                  </c:strRef>
                </c:tx>
                <c:spPr>
                  <a:solidFill>
                    <a:schemeClr val="accent6">
                      <a:shade val="58000"/>
                    </a:schemeClr>
                  </a:solidFill>
                  <a:ln>
                    <a:noFill/>
                  </a:ln>
                  <a:effectLst/>
                </c:spPr>
                <c:invertIfNegative val="0"/>
                <c:cat>
                  <c:strRef>
                    <c:extLst xmlns:c15="http://schemas.microsoft.com/office/drawing/2012/chart">
                      <c:ext xmlns:c15="http://schemas.microsoft.com/office/drawing/2012/chart" uri="{02D57815-91ED-43cb-92C2-25804820EDAC}">
                        <c15:formulaRef>
                          <c15:sqref>SanAcc!$A$4:$A$9</c15:sqref>
                        </c15:formulaRef>
                      </c:ext>
                    </c:extLst>
                    <c:strCache>
                      <c:ptCount val="6"/>
                      <c:pt idx="0">
                        <c:v>North</c:v>
                      </c:pt>
                      <c:pt idx="1">
                        <c:v>Gaza</c:v>
                      </c:pt>
                      <c:pt idx="2">
                        <c:v>Middle Area</c:v>
                      </c:pt>
                      <c:pt idx="3">
                        <c:v>Khan Younis</c:v>
                      </c:pt>
                      <c:pt idx="4">
                        <c:v>Rafah</c:v>
                      </c:pt>
                      <c:pt idx="5">
                        <c:v>Average</c:v>
                      </c:pt>
                    </c:strCache>
                  </c:strRef>
                </c:cat>
                <c:val>
                  <c:numRef>
                    <c:extLst xmlns:c15="http://schemas.microsoft.com/office/drawing/2012/chart">
                      <c:ext xmlns:c15="http://schemas.microsoft.com/office/drawing/2012/chart" uri="{02D57815-91ED-43cb-92C2-25804820EDAC}">
                        <c15:formulaRef>
                          <c15:sqref>SanAcc!$C$4:$C$9</c15:sqref>
                        </c15:formulaRef>
                      </c:ext>
                    </c:extLst>
                    <c:numCache>
                      <c:formatCode>General</c:formatCode>
                      <c:ptCount val="6"/>
                      <c:pt idx="0">
                        <c:v>3</c:v>
                      </c:pt>
                      <c:pt idx="1">
                        <c:v>0</c:v>
                      </c:pt>
                      <c:pt idx="2">
                        <c:v>0</c:v>
                      </c:pt>
                      <c:pt idx="3">
                        <c:v>3</c:v>
                      </c:pt>
                      <c:pt idx="4">
                        <c:v>1</c:v>
                      </c:pt>
                      <c:pt idx="5">
                        <c:v>7</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SanAcc!$D$3</c15:sqref>
                        </c15:formulaRef>
                      </c:ext>
                    </c:extLst>
                    <c:strCache>
                      <c:ptCount val="1"/>
                      <c:pt idx="0">
                        <c:v>% of HHs</c:v>
                      </c:pt>
                    </c:strCache>
                  </c:strRef>
                </c:tx>
                <c:spPr>
                  <a:solidFill>
                    <a:schemeClr val="accent6">
                      <a:shade val="72000"/>
                    </a:schemeClr>
                  </a:solidFill>
                  <a:ln>
                    <a:noFill/>
                  </a:ln>
                  <a:effectLst/>
                </c:spPr>
                <c:invertIfNegative val="0"/>
                <c:cat>
                  <c:strRef>
                    <c:extLst xmlns:c15="http://schemas.microsoft.com/office/drawing/2012/chart">
                      <c:ext xmlns:c15="http://schemas.microsoft.com/office/drawing/2012/chart" uri="{02D57815-91ED-43cb-92C2-25804820EDAC}">
                        <c15:formulaRef>
                          <c15:sqref>SanAcc!$A$4:$A$9</c15:sqref>
                        </c15:formulaRef>
                      </c:ext>
                    </c:extLst>
                    <c:strCache>
                      <c:ptCount val="6"/>
                      <c:pt idx="0">
                        <c:v>North</c:v>
                      </c:pt>
                      <c:pt idx="1">
                        <c:v>Gaza</c:v>
                      </c:pt>
                      <c:pt idx="2">
                        <c:v>Middle Area</c:v>
                      </c:pt>
                      <c:pt idx="3">
                        <c:v>Khan Younis</c:v>
                      </c:pt>
                      <c:pt idx="4">
                        <c:v>Rafah</c:v>
                      </c:pt>
                      <c:pt idx="5">
                        <c:v>Average</c:v>
                      </c:pt>
                    </c:strCache>
                  </c:strRef>
                </c:cat>
                <c:val>
                  <c:numRef>
                    <c:extLst xmlns:c15="http://schemas.microsoft.com/office/drawing/2012/chart">
                      <c:ext xmlns:c15="http://schemas.microsoft.com/office/drawing/2012/chart" uri="{02D57815-91ED-43cb-92C2-25804820EDAC}">
                        <c15:formulaRef>
                          <c15:sqref>SanAcc!$D$4:$D$9</c15:sqref>
                        </c15:formulaRef>
                      </c:ext>
                    </c:extLst>
                    <c:numCache>
                      <c:formatCode>General</c:formatCode>
                      <c:ptCount val="6"/>
                      <c:pt idx="0">
                        <c:v>0.44</c:v>
                      </c:pt>
                      <c:pt idx="1">
                        <c:v>0</c:v>
                      </c:pt>
                      <c:pt idx="2">
                        <c:v>0</c:v>
                      </c:pt>
                      <c:pt idx="3">
                        <c:v>0.49</c:v>
                      </c:pt>
                      <c:pt idx="4">
                        <c:v>0.19</c:v>
                      </c:pt>
                      <c:pt idx="5">
                        <c:v>0</c:v>
                      </c:pt>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SanAcc!$E$3</c15:sqref>
                        </c15:formulaRef>
                      </c:ext>
                    </c:extLst>
                    <c:strCache>
                      <c:ptCount val="1"/>
                      <c:pt idx="0">
                        <c:v># of HHs2</c:v>
                      </c:pt>
                    </c:strCache>
                  </c:strRef>
                </c:tx>
                <c:spPr>
                  <a:solidFill>
                    <a:schemeClr val="accent6">
                      <a:shade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SanAcc!$A$4:$A$9</c15:sqref>
                        </c15:formulaRef>
                      </c:ext>
                    </c:extLst>
                    <c:strCache>
                      <c:ptCount val="6"/>
                      <c:pt idx="0">
                        <c:v>North</c:v>
                      </c:pt>
                      <c:pt idx="1">
                        <c:v>Gaza</c:v>
                      </c:pt>
                      <c:pt idx="2">
                        <c:v>Middle Area</c:v>
                      </c:pt>
                      <c:pt idx="3">
                        <c:v>Khan Younis</c:v>
                      </c:pt>
                      <c:pt idx="4">
                        <c:v>Rafah</c:v>
                      </c:pt>
                      <c:pt idx="5">
                        <c:v>Average</c:v>
                      </c:pt>
                    </c:strCache>
                  </c:strRef>
                </c:cat>
                <c:val>
                  <c:numRef>
                    <c:extLst xmlns:c15="http://schemas.microsoft.com/office/drawing/2012/chart">
                      <c:ext xmlns:c15="http://schemas.microsoft.com/office/drawing/2012/chart" uri="{02D57815-91ED-43cb-92C2-25804820EDAC}">
                        <c15:formulaRef>
                          <c15:sqref>SanAcc!$E$4:$E$9</c15:sqref>
                        </c15:formulaRef>
                      </c:ext>
                    </c:extLst>
                    <c:numCache>
                      <c:formatCode>General</c:formatCode>
                      <c:ptCount val="6"/>
                      <c:pt idx="0">
                        <c:v>6</c:v>
                      </c:pt>
                      <c:pt idx="1">
                        <c:v>11</c:v>
                      </c:pt>
                      <c:pt idx="2">
                        <c:v>2</c:v>
                      </c:pt>
                      <c:pt idx="3">
                        <c:v>12</c:v>
                      </c:pt>
                      <c:pt idx="4">
                        <c:v>3</c:v>
                      </c:pt>
                      <c:pt idx="5">
                        <c:v>34</c:v>
                      </c:pt>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SanAcc!$G$3</c15:sqref>
                        </c15:formulaRef>
                      </c:ext>
                    </c:extLst>
                    <c:strCache>
                      <c:ptCount val="1"/>
                      <c:pt idx="0">
                        <c:v># of HHs3</c:v>
                      </c:pt>
                    </c:strCache>
                  </c:strRef>
                </c:tx>
                <c:spPr>
                  <a:solidFill>
                    <a:schemeClr val="accent6">
                      <a:tint val="86000"/>
                    </a:schemeClr>
                  </a:solidFill>
                  <a:ln>
                    <a:noFill/>
                  </a:ln>
                  <a:effectLst/>
                </c:spPr>
                <c:invertIfNegative val="0"/>
                <c:cat>
                  <c:strRef>
                    <c:extLst xmlns:c15="http://schemas.microsoft.com/office/drawing/2012/chart">
                      <c:ext xmlns:c15="http://schemas.microsoft.com/office/drawing/2012/chart" uri="{02D57815-91ED-43cb-92C2-25804820EDAC}">
                        <c15:formulaRef>
                          <c15:sqref>SanAcc!$A$4:$A$9</c15:sqref>
                        </c15:formulaRef>
                      </c:ext>
                    </c:extLst>
                    <c:strCache>
                      <c:ptCount val="6"/>
                      <c:pt idx="0">
                        <c:v>North</c:v>
                      </c:pt>
                      <c:pt idx="1">
                        <c:v>Gaza</c:v>
                      </c:pt>
                      <c:pt idx="2">
                        <c:v>Middle Area</c:v>
                      </c:pt>
                      <c:pt idx="3">
                        <c:v>Khan Younis</c:v>
                      </c:pt>
                      <c:pt idx="4">
                        <c:v>Rafah</c:v>
                      </c:pt>
                      <c:pt idx="5">
                        <c:v>Average</c:v>
                      </c:pt>
                    </c:strCache>
                  </c:strRef>
                </c:cat>
                <c:val>
                  <c:numRef>
                    <c:extLst xmlns:c15="http://schemas.microsoft.com/office/drawing/2012/chart">
                      <c:ext xmlns:c15="http://schemas.microsoft.com/office/drawing/2012/chart" uri="{02D57815-91ED-43cb-92C2-25804820EDAC}">
                        <c15:formulaRef>
                          <c15:sqref>SanAcc!$G$4:$G$9</c15:sqref>
                        </c15:formulaRef>
                      </c:ext>
                    </c:extLst>
                    <c:numCache>
                      <c:formatCode>General</c:formatCode>
                      <c:ptCount val="6"/>
                      <c:pt idx="0">
                        <c:v>52</c:v>
                      </c:pt>
                      <c:pt idx="1">
                        <c:v>65</c:v>
                      </c:pt>
                      <c:pt idx="2">
                        <c:v>44</c:v>
                      </c:pt>
                      <c:pt idx="3">
                        <c:v>56</c:v>
                      </c:pt>
                      <c:pt idx="4">
                        <c:v>70</c:v>
                      </c:pt>
                      <c:pt idx="5">
                        <c:v>287</c:v>
                      </c:pt>
                    </c:numCache>
                  </c:numRef>
                </c:val>
              </c15:ser>
            </c15:filteredBarSeries>
            <c15:filteredBarSeries>
              <c15:ser>
                <c:idx val="6"/>
                <c:order val="6"/>
                <c:tx>
                  <c:strRef>
                    <c:extLst xmlns:c15="http://schemas.microsoft.com/office/drawing/2012/chart">
                      <c:ext xmlns:c15="http://schemas.microsoft.com/office/drawing/2012/chart" uri="{02D57815-91ED-43cb-92C2-25804820EDAC}">
                        <c15:formulaRef>
                          <c15:sqref>SanAcc!$H$3</c15:sqref>
                        </c15:formulaRef>
                      </c:ext>
                    </c:extLst>
                    <c:strCache>
                      <c:ptCount val="1"/>
                      <c:pt idx="0">
                        <c:v>% of HHs4</c:v>
                      </c:pt>
                    </c:strCache>
                  </c:strRef>
                </c:tx>
                <c:spPr>
                  <a:solidFill>
                    <a:schemeClr val="accent6">
                      <a:tint val="72000"/>
                    </a:schemeClr>
                  </a:solidFill>
                  <a:ln>
                    <a:noFill/>
                  </a:ln>
                  <a:effectLst/>
                </c:spPr>
                <c:invertIfNegative val="0"/>
                <c:cat>
                  <c:strRef>
                    <c:extLst xmlns:c15="http://schemas.microsoft.com/office/drawing/2012/chart">
                      <c:ext xmlns:c15="http://schemas.microsoft.com/office/drawing/2012/chart" uri="{02D57815-91ED-43cb-92C2-25804820EDAC}">
                        <c15:formulaRef>
                          <c15:sqref>SanAcc!$A$4:$A$9</c15:sqref>
                        </c15:formulaRef>
                      </c:ext>
                    </c:extLst>
                    <c:strCache>
                      <c:ptCount val="6"/>
                      <c:pt idx="0">
                        <c:v>North</c:v>
                      </c:pt>
                      <c:pt idx="1">
                        <c:v>Gaza</c:v>
                      </c:pt>
                      <c:pt idx="2">
                        <c:v>Middle Area</c:v>
                      </c:pt>
                      <c:pt idx="3">
                        <c:v>Khan Younis</c:v>
                      </c:pt>
                      <c:pt idx="4">
                        <c:v>Rafah</c:v>
                      </c:pt>
                      <c:pt idx="5">
                        <c:v>Average</c:v>
                      </c:pt>
                    </c:strCache>
                  </c:strRef>
                </c:cat>
                <c:val>
                  <c:numRef>
                    <c:extLst xmlns:c15="http://schemas.microsoft.com/office/drawing/2012/chart">
                      <c:ext xmlns:c15="http://schemas.microsoft.com/office/drawing/2012/chart" uri="{02D57815-91ED-43cb-92C2-25804820EDAC}">
                        <c15:formulaRef>
                          <c15:sqref>SanAcc!$H$4:$H$9</c15:sqref>
                        </c15:formulaRef>
                      </c:ext>
                    </c:extLst>
                    <c:numCache>
                      <c:formatCode>General</c:formatCode>
                      <c:ptCount val="6"/>
                      <c:pt idx="0">
                        <c:v>7.69</c:v>
                      </c:pt>
                      <c:pt idx="1">
                        <c:v>7.17</c:v>
                      </c:pt>
                      <c:pt idx="2">
                        <c:v>10.14</c:v>
                      </c:pt>
                      <c:pt idx="3">
                        <c:v>9.08</c:v>
                      </c:pt>
                      <c:pt idx="4">
                        <c:v>13.13</c:v>
                      </c:pt>
                      <c:pt idx="5">
                        <c:v>9</c:v>
                      </c:pt>
                    </c:numCache>
                  </c:numRef>
                </c:val>
              </c15:ser>
            </c15:filteredBarSeries>
            <c15:filteredBarSeries>
              <c15:ser>
                <c:idx val="7"/>
                <c:order val="7"/>
                <c:tx>
                  <c:strRef>
                    <c:extLst xmlns:c15="http://schemas.microsoft.com/office/drawing/2012/chart">
                      <c:ext xmlns:c15="http://schemas.microsoft.com/office/drawing/2012/chart" uri="{02D57815-91ED-43cb-92C2-25804820EDAC}">
                        <c15:formulaRef>
                          <c15:sqref>SanAcc!$I$3</c15:sqref>
                        </c15:formulaRef>
                      </c:ext>
                    </c:extLst>
                    <c:strCache>
                      <c:ptCount val="1"/>
                      <c:pt idx="0">
                        <c:v># of HHs5</c:v>
                      </c:pt>
                    </c:strCache>
                  </c:strRef>
                </c:tx>
                <c:spPr>
                  <a:solidFill>
                    <a:schemeClr val="accent6">
                      <a:tint val="58000"/>
                    </a:schemeClr>
                  </a:solidFill>
                  <a:ln>
                    <a:noFill/>
                  </a:ln>
                  <a:effectLst/>
                </c:spPr>
                <c:invertIfNegative val="0"/>
                <c:cat>
                  <c:strRef>
                    <c:extLst xmlns:c15="http://schemas.microsoft.com/office/drawing/2012/chart">
                      <c:ext xmlns:c15="http://schemas.microsoft.com/office/drawing/2012/chart" uri="{02D57815-91ED-43cb-92C2-25804820EDAC}">
                        <c15:formulaRef>
                          <c15:sqref>SanAcc!$A$4:$A$9</c15:sqref>
                        </c15:formulaRef>
                      </c:ext>
                    </c:extLst>
                    <c:strCache>
                      <c:ptCount val="6"/>
                      <c:pt idx="0">
                        <c:v>North</c:v>
                      </c:pt>
                      <c:pt idx="1">
                        <c:v>Gaza</c:v>
                      </c:pt>
                      <c:pt idx="2">
                        <c:v>Middle Area</c:v>
                      </c:pt>
                      <c:pt idx="3">
                        <c:v>Khan Younis</c:v>
                      </c:pt>
                      <c:pt idx="4">
                        <c:v>Rafah</c:v>
                      </c:pt>
                      <c:pt idx="5">
                        <c:v>Average</c:v>
                      </c:pt>
                    </c:strCache>
                  </c:strRef>
                </c:cat>
                <c:val>
                  <c:numRef>
                    <c:extLst xmlns:c15="http://schemas.microsoft.com/office/drawing/2012/chart">
                      <c:ext xmlns:c15="http://schemas.microsoft.com/office/drawing/2012/chart" uri="{02D57815-91ED-43cb-92C2-25804820EDAC}">
                        <c15:formulaRef>
                          <c15:sqref>SanAcc!$I$4:$I$9</c15:sqref>
                        </c15:formulaRef>
                      </c:ext>
                    </c:extLst>
                    <c:numCache>
                      <c:formatCode>General</c:formatCode>
                      <c:ptCount val="6"/>
                      <c:pt idx="0">
                        <c:v>70</c:v>
                      </c:pt>
                      <c:pt idx="1">
                        <c:v>93</c:v>
                      </c:pt>
                      <c:pt idx="2">
                        <c:v>45</c:v>
                      </c:pt>
                      <c:pt idx="3">
                        <c:v>67</c:v>
                      </c:pt>
                      <c:pt idx="4">
                        <c:v>74</c:v>
                      </c:pt>
                      <c:pt idx="5">
                        <c:v>349</c:v>
                      </c:pt>
                    </c:numCache>
                  </c:numRef>
                </c:val>
              </c15:ser>
            </c15:filteredBarSeries>
          </c:ext>
        </c:extLst>
      </c:barChart>
      <c:catAx>
        <c:axId val="52972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17136"/>
        <c:crosses val="autoZero"/>
        <c:auto val="1"/>
        <c:lblAlgn val="ctr"/>
        <c:lblOffset val="100"/>
        <c:noMultiLvlLbl val="0"/>
      </c:catAx>
      <c:valAx>
        <c:axId val="529717136"/>
        <c:scaling>
          <c:orientation val="minMax"/>
          <c:max val="0.15000000000000002"/>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26544"/>
        <c:crosses val="autoZero"/>
        <c:crossBetween val="between"/>
        <c:majorUnit val="5.000000000000001E-2"/>
      </c:valAx>
      <c:spPr>
        <a:noFill/>
        <a:ln>
          <a:noFill/>
        </a:ln>
        <a:effectLst/>
      </c:spPr>
    </c:plotArea>
    <c:legend>
      <c:legendPos val="b"/>
      <c:layout>
        <c:manualLayout>
          <c:xMode val="edge"/>
          <c:yMode val="edge"/>
          <c:x val="0.10399825855895754"/>
          <c:y val="0.88461457702402579"/>
          <c:w val="0.78437717210992097"/>
          <c:h val="0.115385422975974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Frequency of Storage</a:t>
            </a:r>
            <a:r>
              <a:rPr lang="en-US" sz="1100" baseline="0"/>
              <a:t> cleaning per year</a:t>
            </a:r>
            <a:endParaRPr lang="en-US" sz="1100"/>
          </a:p>
        </c:rich>
      </c:tx>
      <c:layout>
        <c:manualLayout>
          <c:xMode val="edge"/>
          <c:yMode val="edge"/>
          <c:x val="0.13612009281206808"/>
          <c:y val="2.388565559739815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968906983808032"/>
          <c:y val="0.21042993630573248"/>
          <c:w val="0.73605254764123507"/>
          <c:h val="0.51740997542504641"/>
        </c:manualLayout>
      </c:layout>
      <c:barChart>
        <c:barDir val="col"/>
        <c:grouping val="percentStacked"/>
        <c:varyColors val="0"/>
        <c:ser>
          <c:idx val="1"/>
          <c:order val="1"/>
          <c:tx>
            <c:strRef>
              <c:f>Edu!$C$55</c:f>
              <c:strCache>
                <c:ptCount val="1"/>
                <c:pt idx="0">
                  <c:v>&gt;4</c:v>
                </c:pt>
              </c:strCache>
            </c:strRef>
          </c:tx>
          <c:spPr>
            <a:solidFill>
              <a:schemeClr val="accent3">
                <a:shade val="86000"/>
              </a:schemeClr>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Edu!$A$56:$A$61</c:f>
              <c:strCache>
                <c:ptCount val="6"/>
                <c:pt idx="0">
                  <c:v>North Gaza </c:v>
                </c:pt>
                <c:pt idx="1">
                  <c:v>Gaza </c:v>
                </c:pt>
                <c:pt idx="2">
                  <c:v>Deir Al-Balah </c:v>
                </c:pt>
                <c:pt idx="3">
                  <c:v>Khan Yunis </c:v>
                </c:pt>
                <c:pt idx="4">
                  <c:v>Rafah </c:v>
                </c:pt>
                <c:pt idx="5">
                  <c:v>Average</c:v>
                </c:pt>
              </c:strCache>
            </c:strRef>
          </c:cat>
          <c:val>
            <c:numRef>
              <c:f>Edu!$C$56:$C$61</c:f>
              <c:numCache>
                <c:formatCode>General</c:formatCode>
                <c:ptCount val="6"/>
                <c:pt idx="0">
                  <c:v>19.5</c:v>
                </c:pt>
                <c:pt idx="1">
                  <c:v>18.2</c:v>
                </c:pt>
                <c:pt idx="2">
                  <c:v>36.299999999999997</c:v>
                </c:pt>
                <c:pt idx="3">
                  <c:v>6.8</c:v>
                </c:pt>
                <c:pt idx="4">
                  <c:v>10.9</c:v>
                </c:pt>
                <c:pt idx="5">
                  <c:v>17.5</c:v>
                </c:pt>
              </c:numCache>
            </c:numRef>
          </c:val>
        </c:ser>
        <c:ser>
          <c:idx val="2"/>
          <c:order val="2"/>
          <c:tx>
            <c:strRef>
              <c:f>Edu!$D$55</c:f>
              <c:strCache>
                <c:ptCount val="1"/>
                <c:pt idx="0">
                  <c:v>1-3</c:v>
                </c:pt>
              </c:strCache>
            </c:strRef>
          </c:tx>
          <c:spPr>
            <a:solidFill>
              <a:schemeClr val="accent3">
                <a:tint val="86000"/>
              </a:schemeClr>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Edu!$A$56:$A$61</c:f>
              <c:strCache>
                <c:ptCount val="6"/>
                <c:pt idx="0">
                  <c:v>North Gaza </c:v>
                </c:pt>
                <c:pt idx="1">
                  <c:v>Gaza </c:v>
                </c:pt>
                <c:pt idx="2">
                  <c:v>Deir Al-Balah </c:v>
                </c:pt>
                <c:pt idx="3">
                  <c:v>Khan Yunis </c:v>
                </c:pt>
                <c:pt idx="4">
                  <c:v>Rafah </c:v>
                </c:pt>
                <c:pt idx="5">
                  <c:v>Average</c:v>
                </c:pt>
              </c:strCache>
            </c:strRef>
          </c:cat>
          <c:val>
            <c:numRef>
              <c:f>Edu!$D$56:$D$61</c:f>
              <c:numCache>
                <c:formatCode>General</c:formatCode>
                <c:ptCount val="6"/>
                <c:pt idx="0">
                  <c:v>75.3</c:v>
                </c:pt>
                <c:pt idx="1">
                  <c:v>75.400000000000006</c:v>
                </c:pt>
                <c:pt idx="2">
                  <c:v>62.3</c:v>
                </c:pt>
                <c:pt idx="3">
                  <c:v>89.8</c:v>
                </c:pt>
                <c:pt idx="4">
                  <c:v>76.400000000000006</c:v>
                </c:pt>
                <c:pt idx="5">
                  <c:v>76.900000000000006</c:v>
                </c:pt>
              </c:numCache>
            </c:numRef>
          </c:val>
        </c:ser>
        <c:ser>
          <c:idx val="3"/>
          <c:order val="3"/>
          <c:tx>
            <c:strRef>
              <c:f>Edu!$E$55</c:f>
              <c:strCache>
                <c:ptCount val="1"/>
                <c:pt idx="0">
                  <c:v>&lt;1</c:v>
                </c:pt>
              </c:strCache>
            </c:strRef>
          </c:tx>
          <c:spPr>
            <a:solidFill>
              <a:schemeClr val="accent6">
                <a:lumMod val="60000"/>
                <a:lumOff val="40000"/>
              </a:schemeClr>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Edu!$A$56:$A$61</c:f>
              <c:strCache>
                <c:ptCount val="6"/>
                <c:pt idx="0">
                  <c:v>North Gaza </c:v>
                </c:pt>
                <c:pt idx="1">
                  <c:v>Gaza </c:v>
                </c:pt>
                <c:pt idx="2">
                  <c:v>Deir Al-Balah </c:v>
                </c:pt>
                <c:pt idx="3">
                  <c:v>Khan Yunis </c:v>
                </c:pt>
                <c:pt idx="4">
                  <c:v>Rafah </c:v>
                </c:pt>
                <c:pt idx="5">
                  <c:v>Average</c:v>
                </c:pt>
              </c:strCache>
            </c:strRef>
          </c:cat>
          <c:val>
            <c:numRef>
              <c:f>Edu!$E$56:$E$61</c:f>
              <c:numCache>
                <c:formatCode>General</c:formatCode>
                <c:ptCount val="6"/>
                <c:pt idx="0">
                  <c:v>5.2</c:v>
                </c:pt>
                <c:pt idx="1">
                  <c:v>6.4</c:v>
                </c:pt>
                <c:pt idx="2">
                  <c:v>1.4</c:v>
                </c:pt>
                <c:pt idx="3">
                  <c:v>3.4</c:v>
                </c:pt>
                <c:pt idx="4">
                  <c:v>12.7</c:v>
                </c:pt>
                <c:pt idx="5">
                  <c:v>5.6</c:v>
                </c:pt>
              </c:numCache>
            </c:numRef>
          </c:val>
        </c:ser>
        <c:dLbls>
          <c:showLegendKey val="0"/>
          <c:showVal val="0"/>
          <c:showCatName val="0"/>
          <c:showSerName val="0"/>
          <c:showPercent val="0"/>
          <c:showBubbleSize val="0"/>
        </c:dLbls>
        <c:gapWidth val="50"/>
        <c:overlap val="100"/>
        <c:axId val="529728112"/>
        <c:axId val="529720664"/>
        <c:extLst>
          <c:ext xmlns:c15="http://schemas.microsoft.com/office/drawing/2012/chart" uri="{02D57815-91ED-43cb-92C2-25804820EDAC}">
            <c15:filteredBarSeries>
              <c15:ser>
                <c:idx val="0"/>
                <c:order val="0"/>
                <c:tx>
                  <c:strRef>
                    <c:extLst>
                      <c:ext uri="{02D57815-91ED-43cb-92C2-25804820EDAC}">
                        <c15:formulaRef>
                          <c15:sqref>Edu!$B$55</c15:sqref>
                        </c15:formulaRef>
                      </c:ext>
                    </c:extLst>
                    <c:strCache>
                      <c:ptCount val="1"/>
                      <c:pt idx="0">
                        <c:v>Total</c:v>
                      </c:pt>
                    </c:strCache>
                  </c:strRef>
                </c:tx>
                <c:spPr>
                  <a:solidFill>
                    <a:schemeClr val="accent3">
                      <a:shade val="58000"/>
                    </a:schemeClr>
                  </a:solidFill>
                  <a:ln>
                    <a:noFill/>
                  </a:ln>
                  <a:effectLst/>
                </c:spPr>
                <c:invertIfNegative val="0"/>
                <c:cat>
                  <c:strRef>
                    <c:extLst>
                      <c:ext uri="{02D57815-91ED-43cb-92C2-25804820EDAC}">
                        <c15:formulaRef>
                          <c15:sqref>Edu!$A$56:$A$61</c15:sqref>
                        </c15:formulaRef>
                      </c:ext>
                    </c:extLst>
                    <c:strCache>
                      <c:ptCount val="6"/>
                      <c:pt idx="0">
                        <c:v>North Gaza </c:v>
                      </c:pt>
                      <c:pt idx="1">
                        <c:v>Gaza </c:v>
                      </c:pt>
                      <c:pt idx="2">
                        <c:v>Deir Al-Balah </c:v>
                      </c:pt>
                      <c:pt idx="3">
                        <c:v>Khan Yunis </c:v>
                      </c:pt>
                      <c:pt idx="4">
                        <c:v>Rafah </c:v>
                      </c:pt>
                      <c:pt idx="5">
                        <c:v>Average</c:v>
                      </c:pt>
                    </c:strCache>
                  </c:strRef>
                </c:cat>
                <c:val>
                  <c:numRef>
                    <c:extLst>
                      <c:ext uri="{02D57815-91ED-43cb-92C2-25804820EDAC}">
                        <c15:formulaRef>
                          <c15:sqref>Edu!$B$56:$B$61</c15:sqref>
                        </c15:formulaRef>
                      </c:ext>
                    </c:extLst>
                    <c:numCache>
                      <c:formatCode>General</c:formatCode>
                      <c:ptCount val="6"/>
                      <c:pt idx="0">
                        <c:v>100</c:v>
                      </c:pt>
                      <c:pt idx="1">
                        <c:v>100</c:v>
                      </c:pt>
                      <c:pt idx="2">
                        <c:v>100</c:v>
                      </c:pt>
                      <c:pt idx="3">
                        <c:v>100</c:v>
                      </c:pt>
                      <c:pt idx="4">
                        <c:v>100</c:v>
                      </c:pt>
                      <c:pt idx="5">
                        <c:v>100</c:v>
                      </c:pt>
                    </c:numCache>
                  </c:numRef>
                </c:val>
              </c15:ser>
            </c15:filteredBarSeries>
          </c:ext>
        </c:extLst>
      </c:barChart>
      <c:catAx>
        <c:axId val="52972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20664"/>
        <c:crosses val="autoZero"/>
        <c:auto val="1"/>
        <c:lblAlgn val="ctr"/>
        <c:lblOffset val="100"/>
        <c:noMultiLvlLbl val="0"/>
      </c:catAx>
      <c:valAx>
        <c:axId val="529720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28112"/>
        <c:crosses val="autoZero"/>
        <c:crossBetween val="between"/>
      </c:valAx>
      <c:spPr>
        <a:noFill/>
        <a:ln>
          <a:noFill/>
        </a:ln>
        <a:effectLst/>
      </c:spPr>
    </c:plotArea>
    <c:legend>
      <c:legendPos val="r"/>
      <c:legendEntry>
        <c:idx val="2"/>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88974751865309931"/>
          <c:y val="0.29474890157015865"/>
          <c:w val="0.11025248134690074"/>
          <c:h val="0.398154575939509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a:t>Wastewater</a:t>
            </a:r>
            <a:r>
              <a:rPr lang="en-US" baseline="0"/>
              <a:t> disposal</a:t>
            </a:r>
            <a:endParaRPr lang="en-US"/>
          </a:p>
        </c:rich>
      </c:tx>
      <c:layout>
        <c:manualLayout>
          <c:xMode val="edge"/>
          <c:yMode val="edge"/>
          <c:x val="0.2929661184862295"/>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207844858180833"/>
          <c:y val="0.21043975688237399"/>
          <c:w val="0.72170957590465767"/>
          <c:h val="0.48896048951178145"/>
        </c:manualLayout>
      </c:layout>
      <c:barChart>
        <c:barDir val="col"/>
        <c:grouping val="percentStacked"/>
        <c:varyColors val="0"/>
        <c:ser>
          <c:idx val="2"/>
          <c:order val="2"/>
          <c:tx>
            <c:strRef>
              <c:f>Edu!$D$69</c:f>
              <c:strCache>
                <c:ptCount val="1"/>
                <c:pt idx="0">
                  <c:v>Network</c:v>
                </c:pt>
              </c:strCache>
            </c:strRef>
          </c:tx>
          <c:spPr>
            <a:solidFill>
              <a:schemeClr val="accent5">
                <a:lumMod val="60000"/>
                <a:lumOff val="40000"/>
              </a:schemeClr>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Edu!$A$70:$A$75</c:f>
              <c:strCache>
                <c:ptCount val="6"/>
                <c:pt idx="0">
                  <c:v>North Gaza </c:v>
                </c:pt>
                <c:pt idx="1">
                  <c:v>Gaza </c:v>
                </c:pt>
                <c:pt idx="2">
                  <c:v>Deir Al-Balah </c:v>
                </c:pt>
                <c:pt idx="3">
                  <c:v>Khan Yunis </c:v>
                </c:pt>
                <c:pt idx="4">
                  <c:v>Rafah </c:v>
                </c:pt>
                <c:pt idx="5">
                  <c:v>Average</c:v>
                </c:pt>
              </c:strCache>
            </c:strRef>
          </c:cat>
          <c:val>
            <c:numRef>
              <c:f>Edu!$D$70:$D$75</c:f>
              <c:numCache>
                <c:formatCode>General</c:formatCode>
                <c:ptCount val="6"/>
                <c:pt idx="0">
                  <c:v>94.9</c:v>
                </c:pt>
                <c:pt idx="1">
                  <c:v>98.3</c:v>
                </c:pt>
                <c:pt idx="2">
                  <c:v>91.7</c:v>
                </c:pt>
                <c:pt idx="3">
                  <c:v>42.9</c:v>
                </c:pt>
                <c:pt idx="4">
                  <c:v>85.5</c:v>
                </c:pt>
                <c:pt idx="5">
                  <c:v>84.3</c:v>
                </c:pt>
              </c:numCache>
            </c:numRef>
          </c:val>
        </c:ser>
        <c:ser>
          <c:idx val="3"/>
          <c:order val="3"/>
          <c:tx>
            <c:strRef>
              <c:f>Edu!$E$69</c:f>
              <c:strCache>
                <c:ptCount val="1"/>
                <c:pt idx="0">
                  <c:v>Cesspit</c:v>
                </c:pt>
              </c:strCache>
            </c:strRef>
          </c:tx>
          <c:spPr>
            <a:solidFill>
              <a:schemeClr val="accent6">
                <a:shade val="76000"/>
              </a:schemeClr>
            </a:solidFill>
            <a:ln>
              <a:noFill/>
            </a:ln>
            <a:effectLst/>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Edu!$A$70:$A$75</c:f>
              <c:strCache>
                <c:ptCount val="6"/>
                <c:pt idx="0">
                  <c:v>North Gaza </c:v>
                </c:pt>
                <c:pt idx="1">
                  <c:v>Gaza </c:v>
                </c:pt>
                <c:pt idx="2">
                  <c:v>Deir Al-Balah </c:v>
                </c:pt>
                <c:pt idx="3">
                  <c:v>Khan Yunis </c:v>
                </c:pt>
                <c:pt idx="4">
                  <c:v>Rafah </c:v>
                </c:pt>
                <c:pt idx="5">
                  <c:v>Average</c:v>
                </c:pt>
              </c:strCache>
            </c:strRef>
          </c:cat>
          <c:val>
            <c:numRef>
              <c:f>Edu!$E$70:$E$75</c:f>
              <c:numCache>
                <c:formatCode>General</c:formatCode>
                <c:ptCount val="6"/>
                <c:pt idx="0">
                  <c:v>1.1000000000000001</c:v>
                </c:pt>
                <c:pt idx="1">
                  <c:v>0.4</c:v>
                </c:pt>
                <c:pt idx="2">
                  <c:v>2.7</c:v>
                </c:pt>
                <c:pt idx="3">
                  <c:v>10</c:v>
                </c:pt>
                <c:pt idx="4">
                  <c:v>3.6</c:v>
                </c:pt>
                <c:pt idx="5">
                  <c:v>3.1</c:v>
                </c:pt>
              </c:numCache>
            </c:numRef>
          </c:val>
        </c:ser>
        <c:ser>
          <c:idx val="4"/>
          <c:order val="4"/>
          <c:tx>
            <c:strRef>
              <c:f>Edu!$F$69</c:f>
              <c:strCache>
                <c:ptCount val="1"/>
                <c:pt idx="0">
                  <c:v>Porous</c:v>
                </c:pt>
              </c:strCache>
            </c:strRef>
          </c:tx>
          <c:spPr>
            <a:solidFill>
              <a:schemeClr val="accent6">
                <a:shade val="53000"/>
              </a:schemeClr>
            </a:solidFill>
            <a:ln>
              <a:noFill/>
            </a:ln>
            <a:effectLst/>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Edu!$A$70:$A$75</c:f>
              <c:strCache>
                <c:ptCount val="6"/>
                <c:pt idx="0">
                  <c:v>North Gaza </c:v>
                </c:pt>
                <c:pt idx="1">
                  <c:v>Gaza </c:v>
                </c:pt>
                <c:pt idx="2">
                  <c:v>Deir Al-Balah </c:v>
                </c:pt>
                <c:pt idx="3">
                  <c:v>Khan Yunis </c:v>
                </c:pt>
                <c:pt idx="4">
                  <c:v>Rafah </c:v>
                </c:pt>
                <c:pt idx="5">
                  <c:v>Average</c:v>
                </c:pt>
              </c:strCache>
            </c:strRef>
          </c:cat>
          <c:val>
            <c:numRef>
              <c:f>Edu!$F$70:$F$75</c:f>
              <c:numCache>
                <c:formatCode>General</c:formatCode>
                <c:ptCount val="6"/>
                <c:pt idx="0">
                  <c:v>4</c:v>
                </c:pt>
                <c:pt idx="1">
                  <c:v>1.3</c:v>
                </c:pt>
                <c:pt idx="2">
                  <c:v>5.6</c:v>
                </c:pt>
                <c:pt idx="3">
                  <c:v>47.1</c:v>
                </c:pt>
                <c:pt idx="4">
                  <c:v>10.9</c:v>
                </c:pt>
                <c:pt idx="5">
                  <c:v>12.6</c:v>
                </c:pt>
              </c:numCache>
            </c:numRef>
          </c:val>
        </c:ser>
        <c:dLbls>
          <c:showLegendKey val="0"/>
          <c:showVal val="0"/>
          <c:showCatName val="0"/>
          <c:showSerName val="0"/>
          <c:showPercent val="0"/>
          <c:showBubbleSize val="0"/>
        </c:dLbls>
        <c:gapWidth val="50"/>
        <c:overlap val="100"/>
        <c:axId val="529721056"/>
        <c:axId val="529732424"/>
        <c:extLst>
          <c:ext xmlns:c15="http://schemas.microsoft.com/office/drawing/2012/chart" uri="{02D57815-91ED-43cb-92C2-25804820EDAC}">
            <c15:filteredBarSeries>
              <c15:ser>
                <c:idx val="0"/>
                <c:order val="0"/>
                <c:tx>
                  <c:strRef>
                    <c:extLst>
                      <c:ext uri="{02D57815-91ED-43cb-92C2-25804820EDAC}">
                        <c15:formulaRef>
                          <c15:sqref>Edu!$B$69</c15:sqref>
                        </c15:formulaRef>
                      </c:ext>
                    </c:extLst>
                    <c:strCache>
                      <c:ptCount val="1"/>
                      <c:pt idx="0">
                        <c:v>Total</c:v>
                      </c:pt>
                    </c:strCache>
                  </c:strRef>
                </c:tx>
                <c:spPr>
                  <a:solidFill>
                    <a:schemeClr val="accent6">
                      <a:tint val="54000"/>
                    </a:schemeClr>
                  </a:solidFill>
                  <a:ln>
                    <a:noFill/>
                  </a:ln>
                  <a:effectLst/>
                </c:spPr>
                <c:invertIfNegative val="0"/>
                <c:cat>
                  <c:strRef>
                    <c:extLst>
                      <c:ext uri="{02D57815-91ED-43cb-92C2-25804820EDAC}">
                        <c15:formulaRef>
                          <c15:sqref>Edu!$A$70:$A$75</c15:sqref>
                        </c15:formulaRef>
                      </c:ext>
                    </c:extLst>
                    <c:strCache>
                      <c:ptCount val="6"/>
                      <c:pt idx="0">
                        <c:v>North Gaza </c:v>
                      </c:pt>
                      <c:pt idx="1">
                        <c:v>Gaza </c:v>
                      </c:pt>
                      <c:pt idx="2">
                        <c:v>Deir Al-Balah </c:v>
                      </c:pt>
                      <c:pt idx="3">
                        <c:v>Khan Yunis </c:v>
                      </c:pt>
                      <c:pt idx="4">
                        <c:v>Rafah </c:v>
                      </c:pt>
                      <c:pt idx="5">
                        <c:v>Average</c:v>
                      </c:pt>
                    </c:strCache>
                  </c:strRef>
                </c:cat>
                <c:val>
                  <c:numRef>
                    <c:extLst>
                      <c:ext uri="{02D57815-91ED-43cb-92C2-25804820EDAC}">
                        <c15:formulaRef>
                          <c15:sqref>Edu!$B$70:$B$75</c15:sqref>
                        </c15:formulaRef>
                      </c:ext>
                    </c:extLst>
                    <c:numCache>
                      <c:formatCode>General</c:formatCode>
                      <c:ptCount val="6"/>
                      <c:pt idx="0">
                        <c:v>100</c:v>
                      </c:pt>
                      <c:pt idx="1">
                        <c:v>100</c:v>
                      </c:pt>
                      <c:pt idx="2">
                        <c:v>100</c:v>
                      </c:pt>
                      <c:pt idx="3">
                        <c:v>100</c:v>
                      </c:pt>
                      <c:pt idx="4">
                        <c:v>100</c:v>
                      </c:pt>
                      <c:pt idx="5">
                        <c:v>100</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Edu!$C$69</c15:sqref>
                        </c15:formulaRef>
                      </c:ext>
                    </c:extLst>
                    <c:strCache>
                      <c:ptCount val="1"/>
                      <c:pt idx="0">
                        <c:v>Others</c:v>
                      </c:pt>
                    </c:strCache>
                  </c:strRef>
                </c:tx>
                <c:spPr>
                  <a:solidFill>
                    <a:schemeClr val="accent6">
                      <a:tint val="77000"/>
                    </a:schemeClr>
                  </a:solidFill>
                  <a:ln>
                    <a:noFill/>
                  </a:ln>
                  <a:effectLst/>
                </c:spPr>
                <c:invertIfNegative val="0"/>
                <c:cat>
                  <c:strRef>
                    <c:extLst xmlns:c15="http://schemas.microsoft.com/office/drawing/2012/chart">
                      <c:ext xmlns:c15="http://schemas.microsoft.com/office/drawing/2012/chart" uri="{02D57815-91ED-43cb-92C2-25804820EDAC}">
                        <c15:formulaRef>
                          <c15:sqref>Edu!$A$70:$A$75</c15:sqref>
                        </c15:formulaRef>
                      </c:ext>
                    </c:extLst>
                    <c:strCache>
                      <c:ptCount val="6"/>
                      <c:pt idx="0">
                        <c:v>North Gaza </c:v>
                      </c:pt>
                      <c:pt idx="1">
                        <c:v>Gaza </c:v>
                      </c:pt>
                      <c:pt idx="2">
                        <c:v>Deir Al-Balah </c:v>
                      </c:pt>
                      <c:pt idx="3">
                        <c:v>Khan Yunis </c:v>
                      </c:pt>
                      <c:pt idx="4">
                        <c:v>Rafah </c:v>
                      </c:pt>
                      <c:pt idx="5">
                        <c:v>Average</c:v>
                      </c:pt>
                    </c:strCache>
                  </c:strRef>
                </c:cat>
                <c:val>
                  <c:numRef>
                    <c:extLst xmlns:c15="http://schemas.microsoft.com/office/drawing/2012/chart">
                      <c:ext xmlns:c15="http://schemas.microsoft.com/office/drawing/2012/chart" uri="{02D57815-91ED-43cb-92C2-25804820EDAC}">
                        <c15:formulaRef>
                          <c15:sqref>Edu!$C$70:$C$75</c15:sqref>
                        </c15:formulaRef>
                      </c:ext>
                    </c:extLst>
                    <c:numCache>
                      <c:formatCode>General</c:formatCode>
                      <c:ptCount val="6"/>
                      <c:pt idx="0">
                        <c:v>0</c:v>
                      </c:pt>
                      <c:pt idx="1">
                        <c:v>0</c:v>
                      </c:pt>
                      <c:pt idx="2">
                        <c:v>0</c:v>
                      </c:pt>
                      <c:pt idx="3">
                        <c:v>0</c:v>
                      </c:pt>
                      <c:pt idx="4">
                        <c:v>0</c:v>
                      </c:pt>
                      <c:pt idx="5">
                        <c:v>0</c:v>
                      </c:pt>
                    </c:numCache>
                  </c:numRef>
                </c:val>
              </c15:ser>
            </c15:filteredBarSeries>
          </c:ext>
        </c:extLst>
      </c:barChart>
      <c:catAx>
        <c:axId val="52972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32424"/>
        <c:crosses val="autoZero"/>
        <c:auto val="1"/>
        <c:lblAlgn val="ctr"/>
        <c:lblOffset val="100"/>
        <c:noMultiLvlLbl val="0"/>
      </c:catAx>
      <c:valAx>
        <c:axId val="529732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21056"/>
        <c:crosses val="autoZero"/>
        <c:crossBetween val="between"/>
      </c:valAx>
      <c:spPr>
        <a:noFill/>
        <a:ln>
          <a:noFill/>
        </a:ln>
        <a:effectLst/>
      </c:spPr>
    </c:plotArea>
    <c:legend>
      <c:legendPos val="r"/>
      <c:layout>
        <c:manualLayout>
          <c:xMode val="edge"/>
          <c:yMode val="edge"/>
          <c:x val="0.84234994204087876"/>
          <c:y val="0.26646171809471725"/>
          <c:w val="0.1545993643998384"/>
          <c:h val="0.4335027124112167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a:t>Frequency of SW removal per week</a:t>
            </a:r>
          </a:p>
        </c:rich>
      </c:tx>
      <c:layout>
        <c:manualLayout>
          <c:xMode val="edge"/>
          <c:yMode val="edge"/>
          <c:x val="0.17064442478515771"/>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26228553173097"/>
          <c:y val="0.2194132873166523"/>
          <c:w val="0.74629833561974201"/>
          <c:h val="0.485648774058549"/>
        </c:manualLayout>
      </c:layout>
      <c:barChart>
        <c:barDir val="col"/>
        <c:grouping val="percentStacked"/>
        <c:varyColors val="0"/>
        <c:ser>
          <c:idx val="1"/>
          <c:order val="1"/>
          <c:tx>
            <c:strRef>
              <c:f>Edu!$C$93</c:f>
              <c:strCache>
                <c:ptCount val="1"/>
                <c:pt idx="0">
                  <c:v>&gt;5</c:v>
                </c:pt>
              </c:strCache>
            </c:strRef>
          </c:tx>
          <c:spPr>
            <a:solidFill>
              <a:schemeClr val="accent6">
                <a:shade val="86000"/>
              </a:schemeClr>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Edu!$A$94:$A$99</c:f>
              <c:strCache>
                <c:ptCount val="6"/>
                <c:pt idx="0">
                  <c:v>North Gaza </c:v>
                </c:pt>
                <c:pt idx="1">
                  <c:v>Gaza </c:v>
                </c:pt>
                <c:pt idx="2">
                  <c:v>Deir Al-Balah </c:v>
                </c:pt>
                <c:pt idx="3">
                  <c:v>Khan Yunis </c:v>
                </c:pt>
                <c:pt idx="4">
                  <c:v>Rafah </c:v>
                </c:pt>
                <c:pt idx="5">
                  <c:v>Average</c:v>
                </c:pt>
              </c:strCache>
            </c:strRef>
          </c:cat>
          <c:val>
            <c:numRef>
              <c:f>Edu!$C$94:$C$99</c:f>
              <c:numCache>
                <c:formatCode>General</c:formatCode>
                <c:ptCount val="6"/>
                <c:pt idx="0">
                  <c:v>39.4</c:v>
                </c:pt>
                <c:pt idx="1">
                  <c:v>39</c:v>
                </c:pt>
                <c:pt idx="2">
                  <c:v>44.4</c:v>
                </c:pt>
                <c:pt idx="3">
                  <c:v>39.5</c:v>
                </c:pt>
                <c:pt idx="4">
                  <c:v>58.2</c:v>
                </c:pt>
                <c:pt idx="5">
                  <c:v>41.7</c:v>
                </c:pt>
              </c:numCache>
            </c:numRef>
          </c:val>
        </c:ser>
        <c:ser>
          <c:idx val="2"/>
          <c:order val="2"/>
          <c:tx>
            <c:strRef>
              <c:f>Edu!$D$93</c:f>
              <c:strCache>
                <c:ptCount val="1"/>
                <c:pt idx="0">
                  <c:v>3-4</c:v>
                </c:pt>
              </c:strCache>
            </c:strRef>
          </c:tx>
          <c:spPr>
            <a:solidFill>
              <a:schemeClr val="accent6">
                <a:tint val="86000"/>
              </a:schemeClr>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Edu!$A$94:$A$99</c:f>
              <c:strCache>
                <c:ptCount val="6"/>
                <c:pt idx="0">
                  <c:v>North Gaza </c:v>
                </c:pt>
                <c:pt idx="1">
                  <c:v>Gaza </c:v>
                </c:pt>
                <c:pt idx="2">
                  <c:v>Deir Al-Balah </c:v>
                </c:pt>
                <c:pt idx="3">
                  <c:v>Khan Yunis </c:v>
                </c:pt>
                <c:pt idx="4">
                  <c:v>Rafah </c:v>
                </c:pt>
                <c:pt idx="5">
                  <c:v>Average</c:v>
                </c:pt>
              </c:strCache>
            </c:strRef>
          </c:cat>
          <c:val>
            <c:numRef>
              <c:f>Edu!$D$94:$D$99</c:f>
              <c:numCache>
                <c:formatCode>General</c:formatCode>
                <c:ptCount val="6"/>
                <c:pt idx="0">
                  <c:v>31.3</c:v>
                </c:pt>
                <c:pt idx="1">
                  <c:v>37.700000000000003</c:v>
                </c:pt>
                <c:pt idx="2">
                  <c:v>29.2</c:v>
                </c:pt>
                <c:pt idx="3">
                  <c:v>26.1</c:v>
                </c:pt>
                <c:pt idx="4">
                  <c:v>18.2</c:v>
                </c:pt>
                <c:pt idx="5">
                  <c:v>31.3</c:v>
                </c:pt>
              </c:numCache>
            </c:numRef>
          </c:val>
        </c:ser>
        <c:ser>
          <c:idx val="3"/>
          <c:order val="3"/>
          <c:tx>
            <c:strRef>
              <c:f>Edu!$E$93</c:f>
              <c:strCache>
                <c:ptCount val="1"/>
                <c:pt idx="0">
                  <c:v>1-2</c:v>
                </c:pt>
              </c:strCache>
            </c:strRef>
          </c:tx>
          <c:spPr>
            <a:solidFill>
              <a:schemeClr val="accent6">
                <a:tint val="58000"/>
              </a:schemeClr>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Edu!$A$94:$A$99</c:f>
              <c:strCache>
                <c:ptCount val="6"/>
                <c:pt idx="0">
                  <c:v>North Gaza </c:v>
                </c:pt>
                <c:pt idx="1">
                  <c:v>Gaza </c:v>
                </c:pt>
                <c:pt idx="2">
                  <c:v>Deir Al-Balah </c:v>
                </c:pt>
                <c:pt idx="3">
                  <c:v>Khan Yunis </c:v>
                </c:pt>
                <c:pt idx="4">
                  <c:v>Rafah </c:v>
                </c:pt>
                <c:pt idx="5">
                  <c:v>Average</c:v>
                </c:pt>
              </c:strCache>
            </c:strRef>
          </c:cat>
          <c:val>
            <c:numRef>
              <c:f>Edu!$E$94:$E$99</c:f>
              <c:numCache>
                <c:formatCode>General</c:formatCode>
                <c:ptCount val="6"/>
                <c:pt idx="0">
                  <c:v>29.3</c:v>
                </c:pt>
                <c:pt idx="1">
                  <c:v>23.3</c:v>
                </c:pt>
                <c:pt idx="2">
                  <c:v>26.4</c:v>
                </c:pt>
                <c:pt idx="3">
                  <c:v>34.4</c:v>
                </c:pt>
                <c:pt idx="4">
                  <c:v>23.6</c:v>
                </c:pt>
                <c:pt idx="5">
                  <c:v>27</c:v>
                </c:pt>
              </c:numCache>
            </c:numRef>
          </c:val>
        </c:ser>
        <c:dLbls>
          <c:showLegendKey val="0"/>
          <c:showVal val="0"/>
          <c:showCatName val="0"/>
          <c:showSerName val="0"/>
          <c:showPercent val="0"/>
          <c:showBubbleSize val="0"/>
        </c:dLbls>
        <c:gapWidth val="50"/>
        <c:overlap val="100"/>
        <c:axId val="529731640"/>
        <c:axId val="529731248"/>
        <c:extLst>
          <c:ext xmlns:c15="http://schemas.microsoft.com/office/drawing/2012/chart" uri="{02D57815-91ED-43cb-92C2-25804820EDAC}">
            <c15:filteredBarSeries>
              <c15:ser>
                <c:idx val="0"/>
                <c:order val="0"/>
                <c:tx>
                  <c:strRef>
                    <c:extLst>
                      <c:ext uri="{02D57815-91ED-43cb-92C2-25804820EDAC}">
                        <c15:formulaRef>
                          <c15:sqref>Edu!$B$93</c15:sqref>
                        </c15:formulaRef>
                      </c:ext>
                    </c:extLst>
                    <c:strCache>
                      <c:ptCount val="1"/>
                      <c:pt idx="0">
                        <c:v>Total</c:v>
                      </c:pt>
                    </c:strCache>
                  </c:strRef>
                </c:tx>
                <c:spPr>
                  <a:solidFill>
                    <a:schemeClr val="accent6">
                      <a:shade val="58000"/>
                    </a:schemeClr>
                  </a:solidFill>
                  <a:ln>
                    <a:noFill/>
                  </a:ln>
                  <a:effectLst/>
                </c:spPr>
                <c:invertIfNegative val="0"/>
                <c:cat>
                  <c:strRef>
                    <c:extLst>
                      <c:ext uri="{02D57815-91ED-43cb-92C2-25804820EDAC}">
                        <c15:formulaRef>
                          <c15:sqref>Edu!$A$94:$A$99</c15:sqref>
                        </c15:formulaRef>
                      </c:ext>
                    </c:extLst>
                    <c:strCache>
                      <c:ptCount val="6"/>
                      <c:pt idx="0">
                        <c:v>North Gaza </c:v>
                      </c:pt>
                      <c:pt idx="1">
                        <c:v>Gaza </c:v>
                      </c:pt>
                      <c:pt idx="2">
                        <c:v>Deir Al-Balah </c:v>
                      </c:pt>
                      <c:pt idx="3">
                        <c:v>Khan Yunis </c:v>
                      </c:pt>
                      <c:pt idx="4">
                        <c:v>Rafah </c:v>
                      </c:pt>
                      <c:pt idx="5">
                        <c:v>Average</c:v>
                      </c:pt>
                    </c:strCache>
                  </c:strRef>
                </c:cat>
                <c:val>
                  <c:numRef>
                    <c:extLst>
                      <c:ext uri="{02D57815-91ED-43cb-92C2-25804820EDAC}">
                        <c15:formulaRef>
                          <c15:sqref>Edu!$B$94:$B$99</c15:sqref>
                        </c15:formulaRef>
                      </c:ext>
                    </c:extLst>
                    <c:numCache>
                      <c:formatCode>General</c:formatCode>
                      <c:ptCount val="6"/>
                      <c:pt idx="0">
                        <c:v>100</c:v>
                      </c:pt>
                      <c:pt idx="1">
                        <c:v>100</c:v>
                      </c:pt>
                      <c:pt idx="2">
                        <c:v>100</c:v>
                      </c:pt>
                      <c:pt idx="3">
                        <c:v>100</c:v>
                      </c:pt>
                      <c:pt idx="4">
                        <c:v>100</c:v>
                      </c:pt>
                      <c:pt idx="5">
                        <c:v>100</c:v>
                      </c:pt>
                    </c:numCache>
                  </c:numRef>
                </c:val>
              </c15:ser>
            </c15:filteredBarSeries>
          </c:ext>
        </c:extLst>
      </c:barChart>
      <c:catAx>
        <c:axId val="529731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31248"/>
        <c:crosses val="autoZero"/>
        <c:auto val="1"/>
        <c:lblAlgn val="ctr"/>
        <c:lblOffset val="100"/>
        <c:noMultiLvlLbl val="0"/>
      </c:catAx>
      <c:valAx>
        <c:axId val="529731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31640"/>
        <c:crosses val="autoZero"/>
        <c:crossBetween val="between"/>
      </c:valAx>
      <c:spPr>
        <a:noFill/>
        <a:ln>
          <a:noFill/>
        </a:ln>
        <a:effectLst/>
      </c:spPr>
    </c:plotArea>
    <c:legend>
      <c:legendPos val="r"/>
      <c:layout>
        <c:manualLayout>
          <c:xMode val="edge"/>
          <c:yMode val="edge"/>
          <c:x val="0.88919746636140651"/>
          <c:y val="0.23862589269364584"/>
          <c:w val="0.11080253363859352"/>
          <c:h val="0.4709335286577550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a:t>% of schools affected</a:t>
            </a:r>
            <a:r>
              <a:rPr lang="en-US" baseline="0"/>
              <a:t> by WW or SW smells</a:t>
            </a:r>
            <a:endParaRPr lang="en-US"/>
          </a:p>
        </c:rich>
      </c:tx>
      <c:layout>
        <c:manualLayout>
          <c:xMode val="edge"/>
          <c:yMode val="edge"/>
          <c:x val="0.10312546836273796"/>
          <c:y val="1.089687383343895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7399525028865"/>
          <c:y val="0.20043843624406285"/>
          <c:w val="0.71620554752193499"/>
          <c:h val="0.50821866671296734"/>
        </c:manualLayout>
      </c:layout>
      <c:barChart>
        <c:barDir val="col"/>
        <c:grouping val="stacked"/>
        <c:varyColors val="0"/>
        <c:ser>
          <c:idx val="3"/>
          <c:order val="3"/>
          <c:tx>
            <c:strRef>
              <c:f>Edu!$N$4</c:f>
              <c:strCache>
                <c:ptCount val="1"/>
                <c:pt idx="0">
                  <c:v>% WW</c:v>
                </c:pt>
              </c:strCache>
            </c:strRef>
          </c:tx>
          <c:spPr>
            <a:solidFill>
              <a:schemeClr val="accent6">
                <a:tint val="77000"/>
              </a:schemeClr>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Edu!$J$5:$J$10</c:f>
              <c:strCache>
                <c:ptCount val="6"/>
                <c:pt idx="0">
                  <c:v>North Gaza </c:v>
                </c:pt>
                <c:pt idx="1">
                  <c:v>Gaza </c:v>
                </c:pt>
                <c:pt idx="2">
                  <c:v>Deir AL-Balah </c:v>
                </c:pt>
                <c:pt idx="3">
                  <c:v>Khan Yunis </c:v>
                </c:pt>
                <c:pt idx="4">
                  <c:v>Rafah </c:v>
                </c:pt>
                <c:pt idx="5">
                  <c:v>Average</c:v>
                </c:pt>
              </c:strCache>
            </c:strRef>
          </c:cat>
          <c:val>
            <c:numRef>
              <c:f>Edu!$N$5:$N$10</c:f>
              <c:numCache>
                <c:formatCode>0.0%</c:formatCode>
                <c:ptCount val="6"/>
                <c:pt idx="0">
                  <c:v>0.12621199999999996</c:v>
                </c:pt>
                <c:pt idx="1">
                  <c:v>5.2555000000000004E-2</c:v>
                </c:pt>
                <c:pt idx="2">
                  <c:v>5.8941E-2</c:v>
                </c:pt>
                <c:pt idx="3">
                  <c:v>8.4110999999999991E-2</c:v>
                </c:pt>
                <c:pt idx="4">
                  <c:v>5.6809999999999992E-2</c:v>
                </c:pt>
                <c:pt idx="5">
                  <c:v>7.2687999999999989E-2</c:v>
                </c:pt>
              </c:numCache>
            </c:numRef>
          </c:val>
        </c:ser>
        <c:ser>
          <c:idx val="4"/>
          <c:order val="4"/>
          <c:tx>
            <c:strRef>
              <c:f>Edu!$O$4</c:f>
              <c:strCache>
                <c:ptCount val="1"/>
                <c:pt idx="0">
                  <c:v>% SW</c:v>
                </c:pt>
              </c:strCache>
            </c:strRef>
          </c:tx>
          <c:spPr>
            <a:solidFill>
              <a:schemeClr val="accent6">
                <a:tint val="54000"/>
              </a:schemeClr>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Edu!$J$5:$J$10</c:f>
              <c:strCache>
                <c:ptCount val="6"/>
                <c:pt idx="0">
                  <c:v>North Gaza </c:v>
                </c:pt>
                <c:pt idx="1">
                  <c:v>Gaza </c:v>
                </c:pt>
                <c:pt idx="2">
                  <c:v>Deir AL-Balah </c:v>
                </c:pt>
                <c:pt idx="3">
                  <c:v>Khan Yunis </c:v>
                </c:pt>
                <c:pt idx="4">
                  <c:v>Rafah </c:v>
                </c:pt>
                <c:pt idx="5">
                  <c:v>Average</c:v>
                </c:pt>
              </c:strCache>
            </c:strRef>
          </c:cat>
          <c:val>
            <c:numRef>
              <c:f>Edu!$O$5:$O$10</c:f>
              <c:numCache>
                <c:formatCode>0.0%</c:formatCode>
                <c:ptCount val="6"/>
                <c:pt idx="0">
                  <c:v>0.11397999999999998</c:v>
                </c:pt>
                <c:pt idx="1">
                  <c:v>0.115621</c:v>
                </c:pt>
                <c:pt idx="2">
                  <c:v>5.8608E-2</c:v>
                </c:pt>
                <c:pt idx="3">
                  <c:v>0.192556</c:v>
                </c:pt>
                <c:pt idx="4">
                  <c:v>5.6809999999999992E-2</c:v>
                </c:pt>
                <c:pt idx="5">
                  <c:v>0.11658399999999999</c:v>
                </c:pt>
              </c:numCache>
            </c:numRef>
          </c:val>
        </c:ser>
        <c:dLbls>
          <c:showLegendKey val="0"/>
          <c:showVal val="0"/>
          <c:showCatName val="0"/>
          <c:showSerName val="0"/>
          <c:showPercent val="0"/>
          <c:showBubbleSize val="0"/>
        </c:dLbls>
        <c:gapWidth val="50"/>
        <c:overlap val="100"/>
        <c:axId val="529729680"/>
        <c:axId val="529730072"/>
        <c:extLst>
          <c:ext xmlns:c15="http://schemas.microsoft.com/office/drawing/2012/chart" uri="{02D57815-91ED-43cb-92C2-25804820EDAC}">
            <c15:filteredBarSeries>
              <c15:ser>
                <c:idx val="0"/>
                <c:order val="0"/>
                <c:tx>
                  <c:strRef>
                    <c:extLst>
                      <c:ext uri="{02D57815-91ED-43cb-92C2-25804820EDAC}">
                        <c15:formulaRef>
                          <c15:sqref>Edu!$K$4</c15:sqref>
                        </c15:formulaRef>
                      </c:ext>
                    </c:extLst>
                    <c:strCache>
                      <c:ptCount val="1"/>
                      <c:pt idx="0">
                        <c:v>Yes</c:v>
                      </c:pt>
                    </c:strCache>
                  </c:strRef>
                </c:tx>
                <c:spPr>
                  <a:solidFill>
                    <a:schemeClr val="accent6">
                      <a:shade val="53000"/>
                    </a:schemeClr>
                  </a:solidFill>
                  <a:ln>
                    <a:noFill/>
                  </a:ln>
                  <a:effectLst/>
                </c:spPr>
                <c:invertIfNegative val="0"/>
                <c:cat>
                  <c:strRef>
                    <c:extLst>
                      <c:ext uri="{02D57815-91ED-43cb-92C2-25804820EDAC}">
                        <c15:formulaRef>
                          <c15:sqref>Edu!$J$5:$J$10</c15:sqref>
                        </c15:formulaRef>
                      </c:ext>
                    </c:extLst>
                    <c:strCache>
                      <c:ptCount val="6"/>
                      <c:pt idx="0">
                        <c:v>North Gaza </c:v>
                      </c:pt>
                      <c:pt idx="1">
                        <c:v>Gaza </c:v>
                      </c:pt>
                      <c:pt idx="2">
                        <c:v>Deir AL-Balah </c:v>
                      </c:pt>
                      <c:pt idx="3">
                        <c:v>Khan Yunis </c:v>
                      </c:pt>
                      <c:pt idx="4">
                        <c:v>Rafah </c:v>
                      </c:pt>
                      <c:pt idx="5">
                        <c:v>Average</c:v>
                      </c:pt>
                    </c:strCache>
                  </c:strRef>
                </c:cat>
                <c:val>
                  <c:numRef>
                    <c:extLst>
                      <c:ext uri="{02D57815-91ED-43cb-92C2-25804820EDAC}">
                        <c15:formulaRef>
                          <c15:sqref>Edu!$K$5:$K$10</c15:sqref>
                        </c15:formulaRef>
                      </c:ext>
                    </c:extLst>
                    <c:numCache>
                      <c:formatCode>General</c:formatCode>
                      <c:ptCount val="6"/>
                      <c:pt idx="0">
                        <c:v>0.55599999999999994</c:v>
                      </c:pt>
                      <c:pt idx="1">
                        <c:v>0.45700000000000002</c:v>
                      </c:pt>
                      <c:pt idx="2">
                        <c:v>0.33299999999999996</c:v>
                      </c:pt>
                      <c:pt idx="3">
                        <c:v>0.52900000000000003</c:v>
                      </c:pt>
                      <c:pt idx="4">
                        <c:v>0.43699999999999994</c:v>
                      </c:pt>
                      <c:pt idx="5">
                        <c:v>0.47199999999999998</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Edu!$L$4</c15:sqref>
                        </c15:formulaRef>
                      </c:ext>
                    </c:extLst>
                    <c:strCache>
                      <c:ptCount val="1"/>
                      <c:pt idx="0">
                        <c:v>WW</c:v>
                      </c:pt>
                    </c:strCache>
                  </c:strRef>
                </c:tx>
                <c:spPr>
                  <a:solidFill>
                    <a:schemeClr val="accent6">
                      <a:shade val="76000"/>
                    </a:schemeClr>
                  </a:solidFill>
                  <a:ln>
                    <a:noFill/>
                  </a:ln>
                  <a:effectLst/>
                </c:spPr>
                <c:invertIfNegative val="0"/>
                <c:cat>
                  <c:strRef>
                    <c:extLst xmlns:c15="http://schemas.microsoft.com/office/drawing/2012/chart">
                      <c:ext xmlns:c15="http://schemas.microsoft.com/office/drawing/2012/chart" uri="{02D57815-91ED-43cb-92C2-25804820EDAC}">
                        <c15:formulaRef>
                          <c15:sqref>Edu!$J$5:$J$10</c15:sqref>
                        </c15:formulaRef>
                      </c:ext>
                    </c:extLst>
                    <c:strCache>
                      <c:ptCount val="6"/>
                      <c:pt idx="0">
                        <c:v>North Gaza </c:v>
                      </c:pt>
                      <c:pt idx="1">
                        <c:v>Gaza </c:v>
                      </c:pt>
                      <c:pt idx="2">
                        <c:v>Deir AL-Balah </c:v>
                      </c:pt>
                      <c:pt idx="3">
                        <c:v>Khan Yunis </c:v>
                      </c:pt>
                      <c:pt idx="4">
                        <c:v>Rafah </c:v>
                      </c:pt>
                      <c:pt idx="5">
                        <c:v>Average</c:v>
                      </c:pt>
                    </c:strCache>
                  </c:strRef>
                </c:cat>
                <c:val>
                  <c:numRef>
                    <c:extLst xmlns:c15="http://schemas.microsoft.com/office/drawing/2012/chart">
                      <c:ext xmlns:c15="http://schemas.microsoft.com/office/drawing/2012/chart" uri="{02D57815-91ED-43cb-92C2-25804820EDAC}">
                        <c15:formulaRef>
                          <c15:sqref>Edu!$L$5:$L$10</c15:sqref>
                        </c15:formulaRef>
                      </c:ext>
                    </c:extLst>
                    <c:numCache>
                      <c:formatCode>General</c:formatCode>
                      <c:ptCount val="6"/>
                      <c:pt idx="0">
                        <c:v>0.22699999999999998</c:v>
                      </c:pt>
                      <c:pt idx="1">
                        <c:v>0.115</c:v>
                      </c:pt>
                      <c:pt idx="2">
                        <c:v>0.17700000000000002</c:v>
                      </c:pt>
                      <c:pt idx="3">
                        <c:v>0.15899999999999997</c:v>
                      </c:pt>
                      <c:pt idx="4">
                        <c:v>0.13</c:v>
                      </c:pt>
                      <c:pt idx="5">
                        <c:v>0.154</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Edu!$M$4</c15:sqref>
                        </c15:formulaRef>
                      </c:ext>
                    </c:extLst>
                    <c:strCache>
                      <c:ptCount val="1"/>
                      <c:pt idx="0">
                        <c:v>Dump Site</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Edu!$J$5:$J$10</c15:sqref>
                        </c15:formulaRef>
                      </c:ext>
                    </c:extLst>
                    <c:strCache>
                      <c:ptCount val="6"/>
                      <c:pt idx="0">
                        <c:v>North Gaza </c:v>
                      </c:pt>
                      <c:pt idx="1">
                        <c:v>Gaza </c:v>
                      </c:pt>
                      <c:pt idx="2">
                        <c:v>Deir AL-Balah </c:v>
                      </c:pt>
                      <c:pt idx="3">
                        <c:v>Khan Yunis </c:v>
                      </c:pt>
                      <c:pt idx="4">
                        <c:v>Rafah </c:v>
                      </c:pt>
                      <c:pt idx="5">
                        <c:v>Average</c:v>
                      </c:pt>
                    </c:strCache>
                  </c:strRef>
                </c:cat>
                <c:val>
                  <c:numRef>
                    <c:extLst xmlns:c15="http://schemas.microsoft.com/office/drawing/2012/chart">
                      <c:ext xmlns:c15="http://schemas.microsoft.com/office/drawing/2012/chart" uri="{02D57815-91ED-43cb-92C2-25804820EDAC}">
                        <c15:formulaRef>
                          <c15:sqref>Edu!$M$5:$M$10</c15:sqref>
                        </c15:formulaRef>
                      </c:ext>
                    </c:extLst>
                    <c:numCache>
                      <c:formatCode>General</c:formatCode>
                      <c:ptCount val="6"/>
                      <c:pt idx="0">
                        <c:v>0.20499999999999999</c:v>
                      </c:pt>
                      <c:pt idx="1">
                        <c:v>0.253</c:v>
                      </c:pt>
                      <c:pt idx="2">
                        <c:v>0.17600000000000002</c:v>
                      </c:pt>
                      <c:pt idx="3">
                        <c:v>0.36399999999999999</c:v>
                      </c:pt>
                      <c:pt idx="4">
                        <c:v>0.13</c:v>
                      </c:pt>
                      <c:pt idx="5">
                        <c:v>0.247</c:v>
                      </c:pt>
                    </c:numCache>
                  </c:numRef>
                </c:val>
              </c15:ser>
            </c15:filteredBarSeries>
          </c:ext>
        </c:extLst>
      </c:barChart>
      <c:catAx>
        <c:axId val="529729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29730072"/>
        <c:crosses val="autoZero"/>
        <c:auto val="1"/>
        <c:lblAlgn val="ctr"/>
        <c:lblOffset val="100"/>
        <c:noMultiLvlLbl val="0"/>
      </c:catAx>
      <c:valAx>
        <c:axId val="5297300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29680"/>
        <c:crosses val="autoZero"/>
        <c:crossBetween val="between"/>
        <c:majorUnit val="0.1"/>
      </c:valAx>
      <c:spPr>
        <a:noFill/>
        <a:ln>
          <a:noFill/>
        </a:ln>
        <a:effectLst/>
      </c:spPr>
    </c:plotArea>
    <c:legend>
      <c:legendPos val="r"/>
      <c:layout>
        <c:manualLayout>
          <c:xMode val="edge"/>
          <c:yMode val="edge"/>
          <c:x val="0.85614523931915465"/>
          <c:y val="0.29057275768917634"/>
          <c:w val="0.13978723983480101"/>
          <c:h val="0.3489239036936239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aseline="0"/>
              <a:t># of schools with identified WASH needs</a:t>
            </a:r>
            <a:endParaRPr lang="en-US" sz="1100"/>
          </a:p>
        </c:rich>
      </c:tx>
      <c:layout>
        <c:manualLayout>
          <c:xMode val="edge"/>
          <c:yMode val="edge"/>
          <c:x val="0.16861003861003862"/>
          <c:y val="1.936492878149267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015109597786762"/>
          <c:y val="0.17539983177778457"/>
          <c:w val="0.84737786155108985"/>
          <c:h val="0.50549500589534746"/>
        </c:manualLayout>
      </c:layout>
      <c:barChart>
        <c:barDir val="col"/>
        <c:grouping val="clustered"/>
        <c:varyColors val="0"/>
        <c:ser>
          <c:idx val="0"/>
          <c:order val="0"/>
          <c:tx>
            <c:strRef>
              <c:f>'WASH Needs'!$H$4</c:f>
              <c:strCache>
                <c:ptCount val="1"/>
                <c:pt idx="0">
                  <c:v>Flood Risk</c:v>
                </c:pt>
              </c:strCache>
            </c:strRef>
          </c:tx>
          <c:spPr>
            <a:solidFill>
              <a:schemeClr val="accent6">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'WASH Needs'!$G$5:$G$9</c:f>
              <c:strCache>
                <c:ptCount val="5"/>
                <c:pt idx="0">
                  <c:v>North Gaza</c:v>
                </c:pt>
                <c:pt idx="1">
                  <c:v>Gaza</c:v>
                </c:pt>
                <c:pt idx="2">
                  <c:v>Middle</c:v>
                </c:pt>
                <c:pt idx="3">
                  <c:v>Khan Younis</c:v>
                </c:pt>
                <c:pt idx="4">
                  <c:v>Rafah</c:v>
                </c:pt>
              </c:strCache>
            </c:strRef>
          </c:cat>
          <c:val>
            <c:numRef>
              <c:f>'WASH Needs'!$H$5:$H$9</c:f>
              <c:numCache>
                <c:formatCode>General</c:formatCode>
                <c:ptCount val="5"/>
                <c:pt idx="0">
                  <c:v>4</c:v>
                </c:pt>
                <c:pt idx="1">
                  <c:v>9</c:v>
                </c:pt>
                <c:pt idx="2">
                  <c:v>1</c:v>
                </c:pt>
                <c:pt idx="3">
                  <c:v>4</c:v>
                </c:pt>
                <c:pt idx="4">
                  <c:v>1</c:v>
                </c:pt>
              </c:numCache>
            </c:numRef>
          </c:val>
        </c:ser>
        <c:ser>
          <c:idx val="1"/>
          <c:order val="1"/>
          <c:tx>
            <c:strRef>
              <c:f>'WASH Needs'!$I$4</c:f>
              <c:strCache>
                <c:ptCount val="1"/>
                <c:pt idx="0">
                  <c:v>Construction of# WASH units </c:v>
                </c:pt>
              </c:strCache>
            </c:strRef>
          </c:tx>
          <c:spPr>
            <a:solidFill>
              <a:schemeClr val="accent6">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'WASH Needs'!$G$5:$G$9</c:f>
              <c:strCache>
                <c:ptCount val="5"/>
                <c:pt idx="0">
                  <c:v>North Gaza</c:v>
                </c:pt>
                <c:pt idx="1">
                  <c:v>Gaza</c:v>
                </c:pt>
                <c:pt idx="2">
                  <c:v>Middle</c:v>
                </c:pt>
                <c:pt idx="3">
                  <c:v>Khan Younis</c:v>
                </c:pt>
                <c:pt idx="4">
                  <c:v>Rafah</c:v>
                </c:pt>
              </c:strCache>
            </c:strRef>
          </c:cat>
          <c:val>
            <c:numRef>
              <c:f>'WASH Needs'!$I$5:$I$9</c:f>
              <c:numCache>
                <c:formatCode>General</c:formatCode>
                <c:ptCount val="5"/>
                <c:pt idx="1">
                  <c:v>16</c:v>
                </c:pt>
                <c:pt idx="2">
                  <c:v>3</c:v>
                </c:pt>
                <c:pt idx="3">
                  <c:v>12</c:v>
                </c:pt>
                <c:pt idx="4">
                  <c:v>3</c:v>
                </c:pt>
              </c:numCache>
            </c:numRef>
          </c:val>
        </c:ser>
        <c:ser>
          <c:idx val="2"/>
          <c:order val="2"/>
          <c:tx>
            <c:strRef>
              <c:f>'WASH Needs'!$J$4</c:f>
              <c:strCache>
                <c:ptCount val="1"/>
                <c:pt idx="0">
                  <c:v># WASH units Reh</c:v>
                </c:pt>
              </c:strCache>
            </c:strRef>
          </c:tx>
          <c:spPr>
            <a:solidFill>
              <a:schemeClr val="accent6">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'WASH Needs'!$G$5:$G$9</c:f>
              <c:strCache>
                <c:ptCount val="5"/>
                <c:pt idx="0">
                  <c:v>North Gaza</c:v>
                </c:pt>
                <c:pt idx="1">
                  <c:v>Gaza</c:v>
                </c:pt>
                <c:pt idx="2">
                  <c:v>Middle</c:v>
                </c:pt>
                <c:pt idx="3">
                  <c:v>Khan Younis</c:v>
                </c:pt>
                <c:pt idx="4">
                  <c:v>Rafah</c:v>
                </c:pt>
              </c:strCache>
            </c:strRef>
          </c:cat>
          <c:val>
            <c:numRef>
              <c:f>'WASH Needs'!$J$5:$J$9</c:f>
              <c:numCache>
                <c:formatCode>General</c:formatCode>
                <c:ptCount val="5"/>
                <c:pt idx="0">
                  <c:v>16</c:v>
                </c:pt>
                <c:pt idx="1">
                  <c:v>61</c:v>
                </c:pt>
                <c:pt idx="2">
                  <c:v>8</c:v>
                </c:pt>
                <c:pt idx="3">
                  <c:v>23</c:v>
                </c:pt>
                <c:pt idx="4">
                  <c:v>10</c:v>
                </c:pt>
              </c:numCache>
            </c:numRef>
          </c:val>
        </c:ser>
        <c:ser>
          <c:idx val="3"/>
          <c:order val="3"/>
          <c:tx>
            <c:strRef>
              <c:f>'WASH Needs'!$K$4</c:f>
              <c:strCache>
                <c:ptCount val="1"/>
                <c:pt idx="0">
                  <c:v>#Cafetria Reh</c:v>
                </c:pt>
              </c:strCache>
            </c:strRef>
          </c:tx>
          <c:spPr>
            <a:solidFill>
              <a:schemeClr val="accent6">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'WASH Needs'!$G$5:$G$9</c:f>
              <c:strCache>
                <c:ptCount val="5"/>
                <c:pt idx="0">
                  <c:v>North Gaza</c:v>
                </c:pt>
                <c:pt idx="1">
                  <c:v>Gaza</c:v>
                </c:pt>
                <c:pt idx="2">
                  <c:v>Middle</c:v>
                </c:pt>
                <c:pt idx="3">
                  <c:v>Khan Younis</c:v>
                </c:pt>
                <c:pt idx="4">
                  <c:v>Rafah</c:v>
                </c:pt>
              </c:strCache>
            </c:strRef>
          </c:cat>
          <c:val>
            <c:numRef>
              <c:f>'WASH Needs'!$K$5:$K$9</c:f>
              <c:numCache>
                <c:formatCode>General</c:formatCode>
                <c:ptCount val="5"/>
                <c:pt idx="0">
                  <c:v>11</c:v>
                </c:pt>
                <c:pt idx="1">
                  <c:v>34</c:v>
                </c:pt>
                <c:pt idx="2">
                  <c:v>5</c:v>
                </c:pt>
                <c:pt idx="3">
                  <c:v>13</c:v>
                </c:pt>
                <c:pt idx="4">
                  <c:v>5</c:v>
                </c:pt>
              </c:numCache>
            </c:numRef>
          </c:val>
        </c:ser>
        <c:dLbls>
          <c:dLblPos val="outEnd"/>
          <c:showLegendKey val="0"/>
          <c:showVal val="1"/>
          <c:showCatName val="0"/>
          <c:showSerName val="0"/>
          <c:showPercent val="0"/>
          <c:showBubbleSize val="0"/>
        </c:dLbls>
        <c:gapWidth val="70"/>
        <c:axId val="529730856"/>
        <c:axId val="532162664"/>
      </c:barChart>
      <c:catAx>
        <c:axId val="529730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162664"/>
        <c:crosses val="autoZero"/>
        <c:auto val="1"/>
        <c:lblAlgn val="ctr"/>
        <c:lblOffset val="100"/>
        <c:noMultiLvlLbl val="0"/>
      </c:catAx>
      <c:valAx>
        <c:axId val="532162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730856"/>
        <c:crosses val="autoZero"/>
        <c:crossBetween val="between"/>
        <c:majorUnit val="10"/>
      </c:valAx>
      <c:spPr>
        <a:noFill/>
        <a:ln>
          <a:noFill/>
        </a:ln>
        <a:effectLst/>
      </c:spPr>
    </c:plotArea>
    <c:legend>
      <c:legendPos val="b"/>
      <c:layout>
        <c:manualLayout>
          <c:xMode val="edge"/>
          <c:yMode val="edge"/>
          <c:x val="4.8161614933268475E-2"/>
          <c:y val="0.85923807716806488"/>
          <c:w val="0.9229814854224303"/>
          <c:h val="0.137012752923956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aseline="0"/>
              <a:t>% of schools with identified WASH needs</a:t>
            </a:r>
            <a:endParaRPr lang="en-US" sz="1100"/>
          </a:p>
        </c:rich>
      </c:tx>
      <c:layout>
        <c:manualLayout>
          <c:xMode val="edge"/>
          <c:yMode val="edge"/>
          <c:x val="0.14624521072796937"/>
          <c:y val="2.0435792174119952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396234953389446"/>
          <c:y val="0.16715053763440862"/>
          <c:w val="0.82389205659637377"/>
          <c:h val="0.55288356326031451"/>
        </c:manualLayout>
      </c:layout>
      <c:barChart>
        <c:barDir val="col"/>
        <c:grouping val="percentStacked"/>
        <c:varyColors val="0"/>
        <c:ser>
          <c:idx val="0"/>
          <c:order val="0"/>
          <c:tx>
            <c:strRef>
              <c:f>'WASH Needs'!$G$22</c:f>
              <c:strCache>
                <c:ptCount val="1"/>
                <c:pt idx="0">
                  <c:v>Needed</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'WASH Needs'!$H$21:$K$21</c:f>
              <c:strCache>
                <c:ptCount val="4"/>
                <c:pt idx="0">
                  <c:v>Flood Risk</c:v>
                </c:pt>
                <c:pt idx="1">
                  <c:v>Construction of WASH units </c:v>
                </c:pt>
                <c:pt idx="2">
                  <c:v>Rehabilitation of WASH units</c:v>
                </c:pt>
                <c:pt idx="3">
                  <c:v>Rehabilitation of Cafeteria WASH</c:v>
                </c:pt>
              </c:strCache>
            </c:strRef>
          </c:cat>
          <c:val>
            <c:numRef>
              <c:f>'WASH Needs'!$H$22:$K$22</c:f>
              <c:numCache>
                <c:formatCode>General</c:formatCode>
                <c:ptCount val="4"/>
                <c:pt idx="0">
                  <c:v>19</c:v>
                </c:pt>
                <c:pt idx="1">
                  <c:v>34</c:v>
                </c:pt>
                <c:pt idx="2">
                  <c:v>118</c:v>
                </c:pt>
                <c:pt idx="3">
                  <c:v>68</c:v>
                </c:pt>
              </c:numCache>
            </c:numRef>
          </c:val>
        </c:ser>
        <c:ser>
          <c:idx val="1"/>
          <c:order val="1"/>
          <c:tx>
            <c:strRef>
              <c:f>'WASH Needs'!$G$23</c:f>
              <c:strCache>
                <c:ptCount val="1"/>
                <c:pt idx="0">
                  <c:v>Not Needed</c:v>
                </c:pt>
              </c:strCache>
            </c:strRef>
          </c:tx>
          <c:spPr>
            <a:solidFill>
              <a:schemeClr val="accent5">
                <a:lumMod val="60000"/>
                <a:lumOff val="40000"/>
              </a:schemeClr>
            </a:solidFill>
            <a:ln>
              <a:noFill/>
            </a:ln>
            <a:effectLst/>
          </c:spPr>
          <c:invertIfNegative val="0"/>
          <c:cat>
            <c:strRef>
              <c:f>'WASH Needs'!$H$21:$K$21</c:f>
              <c:strCache>
                <c:ptCount val="4"/>
                <c:pt idx="0">
                  <c:v>Flood Risk</c:v>
                </c:pt>
                <c:pt idx="1">
                  <c:v>Construction of WASH units </c:v>
                </c:pt>
                <c:pt idx="2">
                  <c:v>Rehabilitation of WASH units</c:v>
                </c:pt>
                <c:pt idx="3">
                  <c:v>Rehabilitation of Cafeteria WASH</c:v>
                </c:pt>
              </c:strCache>
            </c:strRef>
          </c:cat>
          <c:val>
            <c:numRef>
              <c:f>'WASH Needs'!$H$23:$K$23</c:f>
              <c:numCache>
                <c:formatCode>General</c:formatCode>
                <c:ptCount val="4"/>
                <c:pt idx="0">
                  <c:v>251</c:v>
                </c:pt>
                <c:pt idx="1">
                  <c:v>236</c:v>
                </c:pt>
                <c:pt idx="2">
                  <c:v>152</c:v>
                </c:pt>
                <c:pt idx="3">
                  <c:v>202</c:v>
                </c:pt>
              </c:numCache>
            </c:numRef>
          </c:val>
        </c:ser>
        <c:dLbls>
          <c:showLegendKey val="0"/>
          <c:showVal val="0"/>
          <c:showCatName val="0"/>
          <c:showSerName val="0"/>
          <c:showPercent val="0"/>
          <c:showBubbleSize val="0"/>
        </c:dLbls>
        <c:gapWidth val="100"/>
        <c:overlap val="100"/>
        <c:axId val="532160312"/>
        <c:axId val="532158352"/>
      </c:barChart>
      <c:catAx>
        <c:axId val="532160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158352"/>
        <c:crosses val="autoZero"/>
        <c:auto val="1"/>
        <c:lblAlgn val="ctr"/>
        <c:lblOffset val="100"/>
        <c:noMultiLvlLbl val="0"/>
      </c:catAx>
      <c:valAx>
        <c:axId val="532158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160312"/>
        <c:crosses val="autoZero"/>
        <c:crossBetween val="between"/>
        <c:majorUnit val="0.1"/>
      </c:valAx>
      <c:spPr>
        <a:noFill/>
        <a:ln>
          <a:noFill/>
        </a:ln>
        <a:effectLst/>
      </c:spPr>
    </c:plotArea>
    <c:legend>
      <c:legendPos val="b"/>
      <c:layout>
        <c:manualLayout>
          <c:xMode val="edge"/>
          <c:yMode val="edge"/>
          <c:x val="0.14490843816936677"/>
          <c:y val="0.90927342358771901"/>
          <c:w val="0.42665821944670707"/>
          <c:h val="9.072644145288290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layout>
        <c:manualLayout>
          <c:xMode val="edge"/>
          <c:yMode val="edge"/>
          <c:x val="0.34977081070361338"/>
          <c:y val="8.8261253309796991E-3"/>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344276196244701"/>
          <c:y val="0.1900730413993926"/>
          <c:w val="0.50421704987644889"/>
          <c:h val="0.702527607703053"/>
        </c:manualLayout>
      </c:layout>
      <c:barChart>
        <c:barDir val="col"/>
        <c:grouping val="percentStacked"/>
        <c:varyColors val="0"/>
        <c:ser>
          <c:idx val="0"/>
          <c:order val="0"/>
          <c:tx>
            <c:strRef>
              <c:f>Sheet1!$B$13</c:f>
              <c:strCache>
                <c:ptCount val="1"/>
                <c:pt idx="0">
                  <c:v>Inside building</c:v>
                </c:pt>
              </c:strCache>
            </c:strRef>
          </c:tx>
          <c:spPr>
            <a:solidFill>
              <a:schemeClr val="accent5">
                <a:shade val="65000"/>
              </a:schemeClr>
            </a:solidFill>
            <a:ln>
              <a:noFill/>
            </a:ln>
            <a:effectLst/>
          </c:spPr>
          <c:invertIfNegative val="0"/>
          <c:cat>
            <c:strRef>
              <c:f>Sheet1!$A$14</c:f>
              <c:strCache>
                <c:ptCount val="1"/>
                <c:pt idx="0">
                  <c:v>Gaza Strip</c:v>
                </c:pt>
              </c:strCache>
            </c:strRef>
          </c:cat>
          <c:val>
            <c:numRef>
              <c:f>Sheet1!$B$14</c:f>
              <c:numCache>
                <c:formatCode>General</c:formatCode>
                <c:ptCount val="1"/>
                <c:pt idx="0">
                  <c:v>47.7</c:v>
                </c:pt>
              </c:numCache>
            </c:numRef>
          </c:val>
        </c:ser>
        <c:ser>
          <c:idx val="1"/>
          <c:order val="1"/>
          <c:tx>
            <c:strRef>
              <c:f>Sheet1!$C$13</c:f>
              <c:strCache>
                <c:ptCount val="1"/>
                <c:pt idx="0">
                  <c:v>Inside premises</c:v>
                </c:pt>
              </c:strCache>
            </c:strRef>
          </c:tx>
          <c:spPr>
            <a:solidFill>
              <a:schemeClr val="accent5"/>
            </a:solidFill>
            <a:ln>
              <a:noFill/>
            </a:ln>
            <a:effectLst/>
          </c:spPr>
          <c:invertIfNegative val="0"/>
          <c:cat>
            <c:strRef>
              <c:f>Sheet1!$A$14</c:f>
              <c:strCache>
                <c:ptCount val="1"/>
                <c:pt idx="0">
                  <c:v>Gaza Strip</c:v>
                </c:pt>
              </c:strCache>
            </c:strRef>
          </c:cat>
          <c:val>
            <c:numRef>
              <c:f>Sheet1!$C$14</c:f>
              <c:numCache>
                <c:formatCode>General</c:formatCode>
                <c:ptCount val="1"/>
                <c:pt idx="0">
                  <c:v>19.600000000000001</c:v>
                </c:pt>
              </c:numCache>
            </c:numRef>
          </c:val>
        </c:ser>
        <c:ser>
          <c:idx val="2"/>
          <c:order val="2"/>
          <c:tx>
            <c:strRef>
              <c:f>Sheet1!$D$13</c:f>
              <c:strCache>
                <c:ptCount val="1"/>
                <c:pt idx="0">
                  <c:v>Outside facility</c:v>
                </c:pt>
              </c:strCache>
            </c:strRef>
          </c:tx>
          <c:spPr>
            <a:solidFill>
              <a:schemeClr val="accent6">
                <a:lumMod val="40000"/>
                <a:lumOff val="60000"/>
              </a:schemeClr>
            </a:solidFill>
            <a:ln>
              <a:noFill/>
            </a:ln>
            <a:effectLst/>
          </c:spPr>
          <c:invertIfNegative val="0"/>
          <c:cat>
            <c:strRef>
              <c:f>Sheet1!$A$14</c:f>
              <c:strCache>
                <c:ptCount val="1"/>
                <c:pt idx="0">
                  <c:v>Gaza Strip</c:v>
                </c:pt>
              </c:strCache>
            </c:strRef>
          </c:cat>
          <c:val>
            <c:numRef>
              <c:f>Sheet1!$D$14</c:f>
              <c:numCache>
                <c:formatCode>General</c:formatCode>
                <c:ptCount val="1"/>
                <c:pt idx="0">
                  <c:v>32.700000000000003</c:v>
                </c:pt>
              </c:numCache>
            </c:numRef>
          </c:val>
        </c:ser>
        <c:dLbls>
          <c:showLegendKey val="0"/>
          <c:showVal val="0"/>
          <c:showCatName val="0"/>
          <c:showSerName val="0"/>
          <c:showPercent val="0"/>
          <c:showBubbleSize val="0"/>
        </c:dLbls>
        <c:gapWidth val="150"/>
        <c:overlap val="100"/>
        <c:axId val="532158744"/>
        <c:axId val="532164624"/>
      </c:barChart>
      <c:catAx>
        <c:axId val="532158744"/>
        <c:scaling>
          <c:orientation val="minMax"/>
        </c:scaling>
        <c:delete val="1"/>
        <c:axPos val="b"/>
        <c:numFmt formatCode="General" sourceLinked="1"/>
        <c:majorTickMark val="none"/>
        <c:minorTickMark val="none"/>
        <c:tickLblPos val="nextTo"/>
        <c:crossAx val="532164624"/>
        <c:crosses val="autoZero"/>
        <c:auto val="1"/>
        <c:lblAlgn val="ctr"/>
        <c:lblOffset val="100"/>
        <c:noMultiLvlLbl val="0"/>
      </c:catAx>
      <c:valAx>
        <c:axId val="532164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158744"/>
        <c:crosses val="autoZero"/>
        <c:crossBetween val="between"/>
        <c:majorUnit val="0.25"/>
      </c:valAx>
      <c:spPr>
        <a:noFill/>
        <a:ln>
          <a:noFill/>
        </a:ln>
        <a:effectLst/>
      </c:spPr>
    </c:plotArea>
    <c:legend>
      <c:legendPos val="r"/>
      <c:layout>
        <c:manualLayout>
          <c:xMode val="edge"/>
          <c:yMode val="edge"/>
          <c:x val="0.71348392573594477"/>
          <c:y val="0.19209610052053291"/>
          <c:w val="0.26190047059374838"/>
          <c:h val="0.7103905039231084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IDP HHs:</a:t>
            </a:r>
            <a:r>
              <a:rPr lang="en-US" sz="1050" baseline="0"/>
              <a:t> availability of domestic water storage</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944899381098282"/>
          <c:y val="0.23972750089637862"/>
          <c:w val="0.82982534902500382"/>
          <c:h val="0.4228151653148054"/>
        </c:manualLayout>
      </c:layout>
      <c:barChart>
        <c:barDir val="col"/>
        <c:grouping val="stacked"/>
        <c:varyColors val="0"/>
        <c:ser>
          <c:idx val="0"/>
          <c:order val="0"/>
          <c:tx>
            <c:strRef>
              <c:f>DomStore!$E$4</c:f>
              <c:strCache>
                <c:ptCount val="1"/>
                <c:pt idx="0">
                  <c:v>% w domestic storage</c:v>
                </c:pt>
              </c:strCache>
            </c:strRef>
          </c:tx>
          <c:spPr>
            <a:solidFill>
              <a:schemeClr val="accent5">
                <a:lumMod val="60000"/>
                <a:lumOff val="40000"/>
              </a:schemeClr>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DomStore!$D$5:$D$10</c:f>
              <c:strCache>
                <c:ptCount val="6"/>
                <c:pt idx="0">
                  <c:v>North Gaza</c:v>
                </c:pt>
                <c:pt idx="1">
                  <c:v>Gaza</c:v>
                </c:pt>
                <c:pt idx="2">
                  <c:v>Deir al-Balah</c:v>
                </c:pt>
                <c:pt idx="3">
                  <c:v>Khan Yunis</c:v>
                </c:pt>
                <c:pt idx="4">
                  <c:v>Rafah</c:v>
                </c:pt>
                <c:pt idx="5">
                  <c:v>Average</c:v>
                </c:pt>
              </c:strCache>
            </c:strRef>
          </c:cat>
          <c:val>
            <c:numRef>
              <c:f>DomStore!$E$5:$E$10</c:f>
              <c:numCache>
                <c:formatCode>0%</c:formatCode>
                <c:ptCount val="6"/>
                <c:pt idx="0">
                  <c:v>0.96748149809374295</c:v>
                </c:pt>
                <c:pt idx="1">
                  <c:v>0.96733612888986997</c:v>
                </c:pt>
                <c:pt idx="2">
                  <c:v>0.89293011851246396</c:v>
                </c:pt>
                <c:pt idx="3">
                  <c:v>0.916752665978672</c:v>
                </c:pt>
                <c:pt idx="4">
                  <c:v>0.90706733444629895</c:v>
                </c:pt>
                <c:pt idx="5">
                  <c:v>0.93031354918421005</c:v>
                </c:pt>
              </c:numCache>
            </c:numRef>
          </c:val>
        </c:ser>
        <c:ser>
          <c:idx val="1"/>
          <c:order val="1"/>
          <c:tx>
            <c:strRef>
              <c:f>DomStore!$F$4</c:f>
              <c:strCache>
                <c:ptCount val="1"/>
                <c:pt idx="0">
                  <c:v>% w/out domestic storage</c:v>
                </c:pt>
              </c:strCache>
            </c:strRef>
          </c:tx>
          <c:spPr>
            <a:solidFill>
              <a:srgbClr val="FF0000"/>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DomStore!$D$5:$D$10</c:f>
              <c:strCache>
                <c:ptCount val="6"/>
                <c:pt idx="0">
                  <c:v>North Gaza</c:v>
                </c:pt>
                <c:pt idx="1">
                  <c:v>Gaza</c:v>
                </c:pt>
                <c:pt idx="2">
                  <c:v>Deir al-Balah</c:v>
                </c:pt>
                <c:pt idx="3">
                  <c:v>Khan Yunis</c:v>
                </c:pt>
                <c:pt idx="4">
                  <c:v>Rafah</c:v>
                </c:pt>
                <c:pt idx="5">
                  <c:v>Average</c:v>
                </c:pt>
              </c:strCache>
            </c:strRef>
          </c:cat>
          <c:val>
            <c:numRef>
              <c:f>DomStore!$F$5:$F$10</c:f>
              <c:numCache>
                <c:formatCode>0%</c:formatCode>
                <c:ptCount val="6"/>
                <c:pt idx="0">
                  <c:v>3.2518501906257047E-2</c:v>
                </c:pt>
                <c:pt idx="1">
                  <c:v>3.2663871110130027E-2</c:v>
                </c:pt>
                <c:pt idx="2">
                  <c:v>0.10706988148753604</c:v>
                </c:pt>
                <c:pt idx="3">
                  <c:v>8.3247334021328001E-2</c:v>
                </c:pt>
                <c:pt idx="4">
                  <c:v>9.2932665553701055E-2</c:v>
                </c:pt>
                <c:pt idx="5">
                  <c:v>6.9686450815789946E-2</c:v>
                </c:pt>
              </c:numCache>
            </c:numRef>
          </c:val>
        </c:ser>
        <c:dLbls>
          <c:showLegendKey val="0"/>
          <c:showVal val="0"/>
          <c:showCatName val="0"/>
          <c:showSerName val="0"/>
          <c:showPercent val="0"/>
          <c:showBubbleSize val="0"/>
        </c:dLbls>
        <c:gapWidth val="100"/>
        <c:overlap val="100"/>
        <c:axId val="528670696"/>
        <c:axId val="528665992"/>
      </c:barChart>
      <c:catAx>
        <c:axId val="528670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665992"/>
        <c:crosses val="autoZero"/>
        <c:auto val="1"/>
        <c:lblAlgn val="ctr"/>
        <c:lblOffset val="100"/>
        <c:noMultiLvlLbl val="0"/>
      </c:catAx>
      <c:valAx>
        <c:axId val="528665992"/>
        <c:scaling>
          <c:orientation val="minMax"/>
          <c:max val="1"/>
          <c:min val="0.8"/>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670696"/>
        <c:crosses val="autoZero"/>
        <c:crossBetween val="between"/>
      </c:valAx>
      <c:spPr>
        <a:noFill/>
        <a:ln>
          <a:noFill/>
        </a:ln>
        <a:effectLst/>
      </c:spPr>
    </c:plotArea>
    <c:legend>
      <c:legendPos val="b"/>
      <c:layout>
        <c:manualLayout>
          <c:xMode val="edge"/>
          <c:yMode val="edge"/>
          <c:x val="6.5318473472933611E-2"/>
          <c:y val="0.8646459798477143"/>
          <c:w val="0.86936305305413275"/>
          <c:h val="0.121011962066950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layout>
        <c:manualLayout>
          <c:xMode val="edge"/>
          <c:yMode val="edge"/>
          <c:x val="0.34237213591544302"/>
          <c:y val="2.2710068130204392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999503440448322"/>
          <c:y val="0.20764572293716882"/>
          <c:w val="0.47220543378023694"/>
          <c:h val="0.70908402725208175"/>
        </c:manualLayout>
      </c:layout>
      <c:barChart>
        <c:barDir val="col"/>
        <c:grouping val="percentStacked"/>
        <c:varyColors val="0"/>
        <c:ser>
          <c:idx val="0"/>
          <c:order val="0"/>
          <c:tx>
            <c:strRef>
              <c:f>Sheet1!$B$16</c:f>
              <c:strCache>
                <c:ptCount val="1"/>
                <c:pt idx="0">
                  <c:v>Facility - Closed</c:v>
                </c:pt>
              </c:strCache>
            </c:strRef>
          </c:tx>
          <c:spPr>
            <a:solidFill>
              <a:schemeClr val="accent5">
                <a:shade val="58000"/>
              </a:schemeClr>
            </a:solidFill>
            <a:ln>
              <a:noFill/>
            </a:ln>
            <a:effectLst/>
          </c:spPr>
          <c:invertIfNegative val="0"/>
          <c:cat>
            <c:strRef>
              <c:f>Sheet1!$A$17</c:f>
              <c:strCache>
                <c:ptCount val="1"/>
                <c:pt idx="0">
                  <c:v>Gaza Strip</c:v>
                </c:pt>
              </c:strCache>
            </c:strRef>
          </c:cat>
          <c:val>
            <c:numRef>
              <c:f>Sheet1!$B$17</c:f>
              <c:numCache>
                <c:formatCode>General</c:formatCode>
                <c:ptCount val="1"/>
                <c:pt idx="0">
                  <c:v>13.6</c:v>
                </c:pt>
              </c:numCache>
            </c:numRef>
          </c:val>
        </c:ser>
        <c:ser>
          <c:idx val="1"/>
          <c:order val="1"/>
          <c:tx>
            <c:strRef>
              <c:f>Sheet1!$C$16</c:f>
              <c:strCache>
                <c:ptCount val="1"/>
                <c:pt idx="0">
                  <c:v>Authority - Closed</c:v>
                </c:pt>
              </c:strCache>
            </c:strRef>
          </c:tx>
          <c:spPr>
            <a:solidFill>
              <a:schemeClr val="accent5">
                <a:shade val="86000"/>
              </a:schemeClr>
            </a:solidFill>
            <a:ln>
              <a:noFill/>
            </a:ln>
            <a:effectLst/>
          </c:spPr>
          <c:invertIfNegative val="0"/>
          <c:cat>
            <c:strRef>
              <c:f>Sheet1!$A$17</c:f>
              <c:strCache>
                <c:ptCount val="1"/>
                <c:pt idx="0">
                  <c:v>Gaza Strip</c:v>
                </c:pt>
              </c:strCache>
            </c:strRef>
          </c:cat>
          <c:val>
            <c:numRef>
              <c:f>Sheet1!$C$17</c:f>
              <c:numCache>
                <c:formatCode>General</c:formatCode>
                <c:ptCount val="1"/>
                <c:pt idx="0">
                  <c:v>8.8000000000000007</c:v>
                </c:pt>
              </c:numCache>
            </c:numRef>
          </c:val>
        </c:ser>
        <c:ser>
          <c:idx val="2"/>
          <c:order val="2"/>
          <c:tx>
            <c:strRef>
              <c:f>Sheet1!$D$16</c:f>
              <c:strCache>
                <c:ptCount val="1"/>
                <c:pt idx="0">
                  <c:v>Facility - Open</c:v>
                </c:pt>
              </c:strCache>
            </c:strRef>
          </c:tx>
          <c:spPr>
            <a:solidFill>
              <a:schemeClr val="accent6">
                <a:lumMod val="40000"/>
                <a:lumOff val="60000"/>
              </a:schemeClr>
            </a:solidFill>
            <a:ln>
              <a:noFill/>
            </a:ln>
            <a:effectLst/>
          </c:spPr>
          <c:invertIfNegative val="0"/>
          <c:cat>
            <c:strRef>
              <c:f>Sheet1!$A$17</c:f>
              <c:strCache>
                <c:ptCount val="1"/>
                <c:pt idx="0">
                  <c:v>Gaza Strip</c:v>
                </c:pt>
              </c:strCache>
            </c:strRef>
          </c:cat>
          <c:val>
            <c:numRef>
              <c:f>Sheet1!$D$17</c:f>
              <c:numCache>
                <c:formatCode>General</c:formatCode>
                <c:ptCount val="1"/>
                <c:pt idx="0">
                  <c:v>16.399999999999999</c:v>
                </c:pt>
              </c:numCache>
            </c:numRef>
          </c:val>
        </c:ser>
        <c:ser>
          <c:idx val="3"/>
          <c:order val="3"/>
          <c:tx>
            <c:strRef>
              <c:f>Sheet1!$E$16</c:f>
              <c:strCache>
                <c:ptCount val="1"/>
                <c:pt idx="0">
                  <c:v>Authority - Open</c:v>
                </c:pt>
              </c:strCache>
            </c:strRef>
          </c:tx>
          <c:spPr>
            <a:solidFill>
              <a:schemeClr val="accent6">
                <a:lumMod val="20000"/>
                <a:lumOff val="80000"/>
              </a:schemeClr>
            </a:solidFill>
            <a:ln>
              <a:noFill/>
            </a:ln>
            <a:effectLst/>
          </c:spPr>
          <c:invertIfNegative val="0"/>
          <c:cat>
            <c:strRef>
              <c:f>Sheet1!$A$17</c:f>
              <c:strCache>
                <c:ptCount val="1"/>
                <c:pt idx="0">
                  <c:v>Gaza Strip</c:v>
                </c:pt>
              </c:strCache>
            </c:strRef>
          </c:cat>
          <c:val>
            <c:numRef>
              <c:f>Sheet1!$E$17</c:f>
              <c:numCache>
                <c:formatCode>General</c:formatCode>
                <c:ptCount val="1"/>
                <c:pt idx="0">
                  <c:v>61.2</c:v>
                </c:pt>
              </c:numCache>
            </c:numRef>
          </c:val>
        </c:ser>
        <c:dLbls>
          <c:showLegendKey val="0"/>
          <c:showVal val="0"/>
          <c:showCatName val="0"/>
          <c:showSerName val="0"/>
          <c:showPercent val="0"/>
          <c:showBubbleSize val="0"/>
        </c:dLbls>
        <c:gapWidth val="150"/>
        <c:overlap val="100"/>
        <c:axId val="532159136"/>
        <c:axId val="532155608"/>
      </c:barChart>
      <c:catAx>
        <c:axId val="532159136"/>
        <c:scaling>
          <c:orientation val="minMax"/>
        </c:scaling>
        <c:delete val="1"/>
        <c:axPos val="b"/>
        <c:numFmt formatCode="General" sourceLinked="1"/>
        <c:majorTickMark val="none"/>
        <c:minorTickMark val="none"/>
        <c:tickLblPos val="nextTo"/>
        <c:crossAx val="532155608"/>
        <c:crosses val="autoZero"/>
        <c:auto val="1"/>
        <c:lblAlgn val="ctr"/>
        <c:lblOffset val="100"/>
        <c:noMultiLvlLbl val="0"/>
      </c:catAx>
      <c:valAx>
        <c:axId val="532155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159136"/>
        <c:crosses val="autoZero"/>
        <c:crossBetween val="between"/>
        <c:majorUnit val="0.25"/>
      </c:valAx>
      <c:spPr>
        <a:noFill/>
        <a:ln>
          <a:noFill/>
        </a:ln>
        <a:effectLst/>
      </c:spPr>
    </c:plotArea>
    <c:legend>
      <c:legendPos val="r"/>
      <c:layout>
        <c:manualLayout>
          <c:xMode val="edge"/>
          <c:yMode val="edge"/>
          <c:x val="0.70622449220874417"/>
          <c:y val="0.18337621396966311"/>
          <c:w val="0.25773947175521977"/>
          <c:h val="0.7850888477360438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layout>
        <c:manualLayout>
          <c:xMode val="edge"/>
          <c:yMode val="edge"/>
          <c:x val="0.34981402002861228"/>
          <c:y val="1.7849174475680501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008110574161062"/>
          <c:y val="0.19125390450691657"/>
          <c:w val="0.50843567300868509"/>
          <c:h val="0.71057563587684081"/>
        </c:manualLayout>
      </c:layout>
      <c:barChart>
        <c:barDir val="col"/>
        <c:grouping val="percentStacked"/>
        <c:varyColors val="0"/>
        <c:ser>
          <c:idx val="0"/>
          <c:order val="0"/>
          <c:tx>
            <c:strRef>
              <c:f>Sheet1!$B$22</c:f>
              <c:strCache>
                <c:ptCount val="1"/>
                <c:pt idx="0">
                  <c:v>Daily</c:v>
                </c:pt>
              </c:strCache>
            </c:strRef>
          </c:tx>
          <c:spPr>
            <a:solidFill>
              <a:schemeClr val="accent5">
                <a:shade val="65000"/>
              </a:schemeClr>
            </a:solidFill>
            <a:ln>
              <a:noFill/>
            </a:ln>
            <a:effectLst/>
          </c:spPr>
          <c:invertIfNegative val="0"/>
          <c:cat>
            <c:strRef>
              <c:f>Sheet1!$A$23</c:f>
              <c:strCache>
                <c:ptCount val="1"/>
                <c:pt idx="0">
                  <c:v>Gaza Strip</c:v>
                </c:pt>
              </c:strCache>
            </c:strRef>
          </c:cat>
          <c:val>
            <c:numRef>
              <c:f>Sheet1!$B$23</c:f>
              <c:numCache>
                <c:formatCode>General</c:formatCode>
                <c:ptCount val="1"/>
                <c:pt idx="0">
                  <c:v>22.7</c:v>
                </c:pt>
              </c:numCache>
            </c:numRef>
          </c:val>
        </c:ser>
        <c:ser>
          <c:idx val="1"/>
          <c:order val="1"/>
          <c:tx>
            <c:strRef>
              <c:f>Sheet1!$C$22</c:f>
              <c:strCache>
                <c:ptCount val="1"/>
                <c:pt idx="0">
                  <c:v>4-6</c:v>
                </c:pt>
              </c:strCache>
            </c:strRef>
          </c:tx>
          <c:spPr>
            <a:solidFill>
              <a:schemeClr val="accent5"/>
            </a:solidFill>
            <a:ln>
              <a:noFill/>
            </a:ln>
            <a:effectLst/>
          </c:spPr>
          <c:invertIfNegative val="0"/>
          <c:cat>
            <c:strRef>
              <c:f>Sheet1!$A$23</c:f>
              <c:strCache>
                <c:ptCount val="1"/>
                <c:pt idx="0">
                  <c:v>Gaza Strip</c:v>
                </c:pt>
              </c:strCache>
            </c:strRef>
          </c:cat>
          <c:val>
            <c:numRef>
              <c:f>Sheet1!$C$23</c:f>
              <c:numCache>
                <c:formatCode>General</c:formatCode>
                <c:ptCount val="1"/>
                <c:pt idx="0">
                  <c:v>50.9</c:v>
                </c:pt>
              </c:numCache>
            </c:numRef>
          </c:val>
        </c:ser>
        <c:ser>
          <c:idx val="2"/>
          <c:order val="2"/>
          <c:tx>
            <c:strRef>
              <c:f>Sheet1!$D$22</c:f>
              <c:strCache>
                <c:ptCount val="1"/>
                <c:pt idx="0">
                  <c:v>1-3</c:v>
                </c:pt>
              </c:strCache>
            </c:strRef>
          </c:tx>
          <c:spPr>
            <a:solidFill>
              <a:schemeClr val="accent5">
                <a:tint val="65000"/>
              </a:schemeClr>
            </a:solidFill>
            <a:ln>
              <a:noFill/>
            </a:ln>
            <a:effectLst/>
          </c:spPr>
          <c:invertIfNegative val="0"/>
          <c:cat>
            <c:strRef>
              <c:f>Sheet1!$A$23</c:f>
              <c:strCache>
                <c:ptCount val="1"/>
                <c:pt idx="0">
                  <c:v>Gaza Strip</c:v>
                </c:pt>
              </c:strCache>
            </c:strRef>
          </c:cat>
          <c:val>
            <c:numRef>
              <c:f>Sheet1!$D$23</c:f>
              <c:numCache>
                <c:formatCode>General</c:formatCode>
                <c:ptCount val="1"/>
                <c:pt idx="0">
                  <c:v>26.4</c:v>
                </c:pt>
              </c:numCache>
            </c:numRef>
          </c:val>
        </c:ser>
        <c:dLbls>
          <c:showLegendKey val="0"/>
          <c:showVal val="0"/>
          <c:showCatName val="0"/>
          <c:showSerName val="0"/>
          <c:showPercent val="0"/>
          <c:showBubbleSize val="0"/>
        </c:dLbls>
        <c:gapWidth val="150"/>
        <c:overlap val="100"/>
        <c:axId val="532163448"/>
        <c:axId val="532152472"/>
      </c:barChart>
      <c:catAx>
        <c:axId val="532163448"/>
        <c:scaling>
          <c:orientation val="minMax"/>
        </c:scaling>
        <c:delete val="1"/>
        <c:axPos val="b"/>
        <c:numFmt formatCode="General" sourceLinked="1"/>
        <c:majorTickMark val="none"/>
        <c:minorTickMark val="none"/>
        <c:tickLblPos val="nextTo"/>
        <c:crossAx val="532152472"/>
        <c:crosses val="autoZero"/>
        <c:auto val="1"/>
        <c:lblAlgn val="ctr"/>
        <c:lblOffset val="100"/>
        <c:noMultiLvlLbl val="0"/>
      </c:catAx>
      <c:valAx>
        <c:axId val="532152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163448"/>
        <c:crosses val="autoZero"/>
        <c:crossBetween val="between"/>
        <c:majorUnit val="0.25"/>
      </c:valAx>
      <c:spPr>
        <a:noFill/>
        <a:ln>
          <a:noFill/>
        </a:ln>
        <a:effectLst/>
      </c:spPr>
    </c:plotArea>
    <c:legend>
      <c:legendPos val="r"/>
      <c:layout>
        <c:manualLayout>
          <c:xMode val="edge"/>
          <c:yMode val="edge"/>
          <c:x val="0.7892498845369651"/>
          <c:y val="0.29218185076263054"/>
          <c:w val="0.17641535151453708"/>
          <c:h val="0.517643627879848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Watery Diarrhea Incidence in the Gaza Strip: 2003 - 2014</a:t>
            </a:r>
          </a:p>
        </c:rich>
      </c:tx>
      <c:layout>
        <c:manualLayout>
          <c:xMode val="edge"/>
          <c:yMode val="edge"/>
          <c:x val="0.14577272727272728"/>
          <c:y val="1.5037593984962405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820078740157479"/>
          <c:y val="0.29969924812030074"/>
          <c:w val="0.58881694540248586"/>
          <c:h val="0.52396068912438565"/>
        </c:manualLayout>
      </c:layout>
      <c:lineChart>
        <c:grouping val="standard"/>
        <c:varyColors val="0"/>
        <c:ser>
          <c:idx val="0"/>
          <c:order val="0"/>
          <c:tx>
            <c:strRef>
              <c:f>MoH!$A$3</c:f>
              <c:strCache>
                <c:ptCount val="1"/>
                <c:pt idx="0">
                  <c:v>&lt;3 incidence</c:v>
                </c:pt>
              </c:strCache>
            </c:strRef>
          </c:tx>
          <c:spPr>
            <a:ln w="28575" cap="rnd">
              <a:solidFill>
                <a:schemeClr val="accent6">
                  <a:shade val="76000"/>
                </a:schemeClr>
              </a:solidFill>
              <a:round/>
            </a:ln>
            <a:effectLst/>
          </c:spPr>
          <c:marker>
            <c:symbol val="none"/>
          </c:marker>
          <c:cat>
            <c:numRef>
              <c:f>MoH!$B$2:$M$2</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MoH!$B$3:$M$3</c:f>
              <c:numCache>
                <c:formatCode>0.0%</c:formatCode>
                <c:ptCount val="12"/>
                <c:pt idx="0" formatCode="0%">
                  <c:v>0.157</c:v>
                </c:pt>
                <c:pt idx="1">
                  <c:v>0.16300000000000001</c:v>
                </c:pt>
                <c:pt idx="2">
                  <c:v>0.14699999999999999</c:v>
                </c:pt>
                <c:pt idx="3">
                  <c:v>0.14099999999999999</c:v>
                </c:pt>
                <c:pt idx="4">
                  <c:v>0.20799999999999999</c:v>
                </c:pt>
                <c:pt idx="5">
                  <c:v>0.221</c:v>
                </c:pt>
                <c:pt idx="6">
                  <c:v>0.20599999999999999</c:v>
                </c:pt>
                <c:pt idx="7">
                  <c:v>0.30099999999999999</c:v>
                </c:pt>
                <c:pt idx="8">
                  <c:v>0.32600000000000001</c:v>
                </c:pt>
                <c:pt idx="9">
                  <c:v>0.41</c:v>
                </c:pt>
                <c:pt idx="10">
                  <c:v>0.41499999999999998</c:v>
                </c:pt>
                <c:pt idx="11">
                  <c:v>0.30299999999999999</c:v>
                </c:pt>
              </c:numCache>
            </c:numRef>
          </c:val>
          <c:smooth val="0"/>
        </c:ser>
        <c:ser>
          <c:idx val="1"/>
          <c:order val="1"/>
          <c:tx>
            <c:strRef>
              <c:f>MoH!$A$4</c:f>
              <c:strCache>
                <c:ptCount val="1"/>
                <c:pt idx="0">
                  <c:v>&gt;3 incidence</c:v>
                </c:pt>
              </c:strCache>
            </c:strRef>
          </c:tx>
          <c:spPr>
            <a:ln w="28575" cap="rnd">
              <a:solidFill>
                <a:schemeClr val="accent6">
                  <a:tint val="77000"/>
                </a:schemeClr>
              </a:solidFill>
              <a:round/>
            </a:ln>
            <a:effectLst/>
          </c:spPr>
          <c:marker>
            <c:symbol val="none"/>
          </c:marker>
          <c:cat>
            <c:numRef>
              <c:f>MoH!$B$2:$M$2</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MoH!$B$4:$M$4</c:f>
              <c:numCache>
                <c:formatCode>0.0%</c:formatCode>
                <c:ptCount val="12"/>
                <c:pt idx="0" formatCode="0%">
                  <c:v>1.6E-2</c:v>
                </c:pt>
                <c:pt idx="1">
                  <c:v>1.2999999999999999E-2</c:v>
                </c:pt>
                <c:pt idx="2">
                  <c:v>1.9E-2</c:v>
                </c:pt>
                <c:pt idx="3">
                  <c:v>2.1999999999999999E-2</c:v>
                </c:pt>
                <c:pt idx="4">
                  <c:v>1.7000000000000001E-2</c:v>
                </c:pt>
                <c:pt idx="5">
                  <c:v>1.4999999999999999E-2</c:v>
                </c:pt>
                <c:pt idx="6">
                  <c:v>1.4999999999999999E-2</c:v>
                </c:pt>
                <c:pt idx="7">
                  <c:v>1.9E-2</c:v>
                </c:pt>
                <c:pt idx="8">
                  <c:v>2.1999999999999999E-2</c:v>
                </c:pt>
                <c:pt idx="9">
                  <c:v>2.8000000000000001E-2</c:v>
                </c:pt>
                <c:pt idx="10">
                  <c:v>2.2800000000000001E-2</c:v>
                </c:pt>
                <c:pt idx="11">
                  <c:v>2.2800000000000001E-2</c:v>
                </c:pt>
              </c:numCache>
            </c:numRef>
          </c:val>
          <c:smooth val="0"/>
        </c:ser>
        <c:dLbls>
          <c:showLegendKey val="0"/>
          <c:showVal val="0"/>
          <c:showCatName val="0"/>
          <c:showSerName val="0"/>
          <c:showPercent val="0"/>
          <c:showBubbleSize val="0"/>
        </c:dLbls>
        <c:smooth val="0"/>
        <c:axId val="532162272"/>
        <c:axId val="532156000"/>
      </c:lineChart>
      <c:catAx>
        <c:axId val="53216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32156000"/>
        <c:crosses val="autoZero"/>
        <c:auto val="1"/>
        <c:lblAlgn val="ctr"/>
        <c:lblOffset val="100"/>
        <c:noMultiLvlLbl val="0"/>
      </c:catAx>
      <c:valAx>
        <c:axId val="532156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162272"/>
        <c:crosses val="autoZero"/>
        <c:crossBetween val="between"/>
        <c:majorUnit val="0.1"/>
      </c:valAx>
      <c:spPr>
        <a:noFill/>
        <a:ln>
          <a:noFill/>
        </a:ln>
        <a:effectLst/>
      </c:spPr>
    </c:plotArea>
    <c:legend>
      <c:legendPos val="r"/>
      <c:layout>
        <c:manualLayout>
          <c:xMode val="edge"/>
          <c:yMode val="edge"/>
          <c:x val="0.73156308973774975"/>
          <c:y val="0.29740512699070509"/>
          <c:w val="0.2618253400143164"/>
          <c:h val="0.539475460304304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aseline="0"/>
              <a:t>&lt;5 WASH diseases incidence</a:t>
            </a:r>
            <a:endParaRPr lang="en-US" sz="1100"/>
          </a:p>
        </c:rich>
      </c:tx>
      <c:layout>
        <c:manualLayout>
          <c:xMode val="edge"/>
          <c:yMode val="edge"/>
          <c:x val="0.23103759652032382"/>
          <c:y val="3.2786885245901641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5197336744272"/>
          <c:y val="0.2330327868852459"/>
          <c:w val="0.71368866106066575"/>
          <c:h val="0.54478056021685817"/>
        </c:manualLayout>
      </c:layout>
      <c:barChart>
        <c:barDir val="col"/>
        <c:grouping val="clustered"/>
        <c:varyColors val="0"/>
        <c:ser>
          <c:idx val="0"/>
          <c:order val="0"/>
          <c:tx>
            <c:strRef>
              <c:f>HHSurveys!$B$10</c:f>
              <c:strCache>
                <c:ptCount val="1"/>
                <c:pt idx="0">
                  <c:v>2010</c:v>
                </c:pt>
              </c:strCache>
            </c:strRef>
          </c:tx>
          <c:spPr>
            <a:solidFill>
              <a:schemeClr val="accent6">
                <a:shade val="76000"/>
              </a:schemeClr>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HHSurveys!$A$11:$A$16</c:f>
              <c:strCache>
                <c:ptCount val="6"/>
                <c:pt idx="0">
                  <c:v>North Gaza</c:v>
                </c:pt>
                <c:pt idx="1">
                  <c:v>Gaza</c:v>
                </c:pt>
                <c:pt idx="2">
                  <c:v>Deir al-Balah</c:v>
                </c:pt>
                <c:pt idx="3">
                  <c:v>Khan Yunis</c:v>
                </c:pt>
                <c:pt idx="4">
                  <c:v>Rafah</c:v>
                </c:pt>
                <c:pt idx="5">
                  <c:v>Average</c:v>
                </c:pt>
              </c:strCache>
            </c:strRef>
          </c:cat>
          <c:val>
            <c:numRef>
              <c:f>HHSurveys!$B$11:$B$16</c:f>
              <c:numCache>
                <c:formatCode>0%</c:formatCode>
                <c:ptCount val="6"/>
                <c:pt idx="0">
                  <c:v>0.27399999999999997</c:v>
                </c:pt>
                <c:pt idx="1">
                  <c:v>0.21100000000000002</c:v>
                </c:pt>
                <c:pt idx="2">
                  <c:v>0.17800000000000002</c:v>
                </c:pt>
                <c:pt idx="3">
                  <c:v>0.17399999999999999</c:v>
                </c:pt>
                <c:pt idx="4">
                  <c:v>0.161</c:v>
                </c:pt>
                <c:pt idx="5">
                  <c:v>0.2</c:v>
                </c:pt>
              </c:numCache>
            </c:numRef>
          </c:val>
        </c:ser>
        <c:ser>
          <c:idx val="1"/>
          <c:order val="1"/>
          <c:tx>
            <c:strRef>
              <c:f>HHSurveys!$C$10</c:f>
              <c:strCache>
                <c:ptCount val="1"/>
                <c:pt idx="0">
                  <c:v>2015</c:v>
                </c:pt>
              </c:strCache>
            </c:strRef>
          </c:tx>
          <c:spPr>
            <a:solidFill>
              <a:schemeClr val="accent6">
                <a:tint val="77000"/>
              </a:schemeClr>
            </a:solidFill>
            <a:ln>
              <a:noFill/>
            </a:ln>
            <a:effectLst/>
          </c:spPr>
          <c:invertIfNegative val="0"/>
          <c:dLbls>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HHSurveys!$A$11:$A$16</c:f>
              <c:strCache>
                <c:ptCount val="6"/>
                <c:pt idx="0">
                  <c:v>North Gaza</c:v>
                </c:pt>
                <c:pt idx="1">
                  <c:v>Gaza</c:v>
                </c:pt>
                <c:pt idx="2">
                  <c:v>Deir al-Balah</c:v>
                </c:pt>
                <c:pt idx="3">
                  <c:v>Khan Yunis</c:v>
                </c:pt>
                <c:pt idx="4">
                  <c:v>Rafah</c:v>
                </c:pt>
                <c:pt idx="5">
                  <c:v>Average</c:v>
                </c:pt>
              </c:strCache>
            </c:strRef>
          </c:cat>
          <c:val>
            <c:numRef>
              <c:f>HHSurveys!$C$11:$C$16</c:f>
              <c:numCache>
                <c:formatCode>0%</c:formatCode>
                <c:ptCount val="6"/>
                <c:pt idx="0">
                  <c:v>0.3165</c:v>
                </c:pt>
                <c:pt idx="1">
                  <c:v>0.31359999999999999</c:v>
                </c:pt>
                <c:pt idx="2">
                  <c:v>0.14610000000000001</c:v>
                </c:pt>
                <c:pt idx="3">
                  <c:v>0.125</c:v>
                </c:pt>
                <c:pt idx="4">
                  <c:v>0.25650000000000001</c:v>
                </c:pt>
                <c:pt idx="5">
                  <c:v>0.25040000000000001</c:v>
                </c:pt>
              </c:numCache>
            </c:numRef>
          </c:val>
        </c:ser>
        <c:dLbls>
          <c:showLegendKey val="0"/>
          <c:showVal val="0"/>
          <c:showCatName val="0"/>
          <c:showSerName val="0"/>
          <c:showPercent val="0"/>
          <c:showBubbleSize val="0"/>
        </c:dLbls>
        <c:gapWidth val="100"/>
        <c:axId val="532163840"/>
        <c:axId val="532152864"/>
      </c:barChart>
      <c:catAx>
        <c:axId val="53216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32152864"/>
        <c:crosses val="autoZero"/>
        <c:auto val="1"/>
        <c:lblAlgn val="ctr"/>
        <c:lblOffset val="100"/>
        <c:noMultiLvlLbl val="0"/>
      </c:catAx>
      <c:valAx>
        <c:axId val="532152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163840"/>
        <c:crosses val="autoZero"/>
        <c:crossBetween val="between"/>
      </c:valAx>
      <c:spPr>
        <a:noFill/>
        <a:ln>
          <a:noFill/>
        </a:ln>
        <a:effectLst/>
      </c:spPr>
    </c:plotArea>
    <c:legend>
      <c:legendPos val="r"/>
      <c:layout>
        <c:manualLayout>
          <c:xMode val="edge"/>
          <c:yMode val="edge"/>
          <c:x val="0.85947483865319796"/>
          <c:y val="0.35524461081709047"/>
          <c:w val="0.14052516134680201"/>
          <c:h val="0.383198657544856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[Gaza WASH Assessment_raw data_GVC_edited.xlsx]Pivots!PivotTable49</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s>
    <c:plotArea>
      <c:layout>
        <c:manualLayout>
          <c:layoutTarget val="inner"/>
          <c:xMode val="edge"/>
          <c:yMode val="edge"/>
          <c:x val="0.20708929544987353"/>
          <c:y val="9.397693293464332E-2"/>
          <c:w val="0.57537917720557352"/>
          <c:h val="0.70783197166565204"/>
        </c:manualLayout>
      </c:layout>
      <c:barChart>
        <c:barDir val="bar"/>
        <c:grouping val="percentStacked"/>
        <c:varyColors val="0"/>
        <c:ser>
          <c:idx val="0"/>
          <c:order val="0"/>
          <c:tx>
            <c:strRef>
              <c:f>Pivots!$BG$173:$BG$174</c:f>
              <c:strCache>
                <c:ptCount val="1"/>
                <c:pt idx="0">
                  <c:v>No</c:v>
                </c:pt>
              </c:strCache>
            </c:strRef>
          </c:tx>
          <c:spPr>
            <a:solidFill>
              <a:schemeClr val="accent5">
                <a:lumMod val="60000"/>
                <a:lumOff val="40000"/>
              </a:schemeClr>
            </a:solidFill>
            <a:ln>
              <a:noFill/>
            </a:ln>
            <a:effectLst/>
          </c:spPr>
          <c:invertIfNegative val="0"/>
          <c:cat>
            <c:strRef>
              <c:f>Pivots!$BF$175:$BF$178</c:f>
              <c:strCache>
                <c:ptCount val="3"/>
                <c:pt idx="0">
                  <c:v>camp</c:v>
                </c:pt>
                <c:pt idx="1">
                  <c:v>rural</c:v>
                </c:pt>
                <c:pt idx="2">
                  <c:v>urban</c:v>
                </c:pt>
              </c:strCache>
            </c:strRef>
          </c:cat>
          <c:val>
            <c:numRef>
              <c:f>Pivots!$BG$175:$BG$178</c:f>
              <c:numCache>
                <c:formatCode>General</c:formatCode>
                <c:ptCount val="3"/>
                <c:pt idx="0">
                  <c:v>248</c:v>
                </c:pt>
                <c:pt idx="1">
                  <c:v>148</c:v>
                </c:pt>
                <c:pt idx="2">
                  <c:v>879</c:v>
                </c:pt>
              </c:numCache>
            </c:numRef>
          </c:val>
        </c:ser>
        <c:ser>
          <c:idx val="1"/>
          <c:order val="1"/>
          <c:tx>
            <c:strRef>
              <c:f>Pivots!$BH$173:$BH$174</c:f>
              <c:strCache>
                <c:ptCount val="1"/>
                <c:pt idx="0">
                  <c:v>Yes</c:v>
                </c:pt>
              </c:strCache>
            </c:strRef>
          </c:tx>
          <c:spPr>
            <a:solidFill>
              <a:schemeClr val="accent6">
                <a:lumMod val="75000"/>
              </a:schemeClr>
            </a:solidFill>
            <a:ln>
              <a:noFill/>
            </a:ln>
            <a:effectLst/>
          </c:spPr>
          <c:invertIfNegative val="0"/>
          <c:cat>
            <c:strRef>
              <c:f>Pivots!$BF$175:$BF$178</c:f>
              <c:strCache>
                <c:ptCount val="3"/>
                <c:pt idx="0">
                  <c:v>camp</c:v>
                </c:pt>
                <c:pt idx="1">
                  <c:v>rural</c:v>
                </c:pt>
                <c:pt idx="2">
                  <c:v>urban</c:v>
                </c:pt>
              </c:strCache>
            </c:strRef>
          </c:cat>
          <c:val>
            <c:numRef>
              <c:f>Pivots!$BH$175:$BH$178</c:f>
              <c:numCache>
                <c:formatCode>General</c:formatCode>
                <c:ptCount val="3"/>
                <c:pt idx="0">
                  <c:v>74</c:v>
                </c:pt>
                <c:pt idx="1">
                  <c:v>70</c:v>
                </c:pt>
                <c:pt idx="2">
                  <c:v>282</c:v>
                </c:pt>
              </c:numCache>
            </c:numRef>
          </c:val>
        </c:ser>
        <c:ser>
          <c:idx val="2"/>
          <c:order val="2"/>
          <c:tx>
            <c:strRef>
              <c:f>Pivots!$BI$173:$BI$174</c:f>
              <c:strCache>
                <c:ptCount val="1"/>
                <c:pt idx="0">
                  <c:v>(blank)</c:v>
                </c:pt>
              </c:strCache>
            </c:strRef>
          </c:tx>
          <c:spPr>
            <a:solidFill>
              <a:schemeClr val="accent3"/>
            </a:solidFill>
            <a:ln>
              <a:noFill/>
            </a:ln>
            <a:effectLst/>
          </c:spPr>
          <c:invertIfNegative val="0"/>
          <c:cat>
            <c:strRef>
              <c:f>Pivots!$BF$175:$BF$178</c:f>
              <c:strCache>
                <c:ptCount val="3"/>
                <c:pt idx="0">
                  <c:v>camp</c:v>
                </c:pt>
                <c:pt idx="1">
                  <c:v>rural</c:v>
                </c:pt>
                <c:pt idx="2">
                  <c:v>urban</c:v>
                </c:pt>
              </c:strCache>
            </c:strRef>
          </c:cat>
          <c:val>
            <c:numRef>
              <c:f>Pivots!$BI$175:$BI$178</c:f>
              <c:numCache>
                <c:formatCode>General</c:formatCode>
                <c:ptCount val="3"/>
              </c:numCache>
            </c:numRef>
          </c:val>
        </c:ser>
        <c:dLbls>
          <c:showLegendKey val="0"/>
          <c:showVal val="0"/>
          <c:showCatName val="0"/>
          <c:showSerName val="0"/>
          <c:showPercent val="0"/>
          <c:showBubbleSize val="0"/>
        </c:dLbls>
        <c:gapWidth val="50"/>
        <c:overlap val="100"/>
        <c:axId val="532157176"/>
        <c:axId val="532153648"/>
      </c:barChart>
      <c:catAx>
        <c:axId val="532157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153648"/>
        <c:crosses val="autoZero"/>
        <c:auto val="1"/>
        <c:lblAlgn val="ctr"/>
        <c:lblOffset val="100"/>
        <c:noMultiLvlLbl val="0"/>
      </c:catAx>
      <c:valAx>
        <c:axId val="532153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157176"/>
        <c:crosses val="autoZero"/>
        <c:crossBetween val="between"/>
        <c:majorUnit val="0.2"/>
      </c:valAx>
      <c:spPr>
        <a:noFill/>
        <a:ln>
          <a:noFill/>
        </a:ln>
        <a:effectLst/>
      </c:spPr>
    </c:plotArea>
    <c:legend>
      <c:legendPos val="r"/>
      <c:legendEntry>
        <c:idx val="2"/>
        <c:delete val="1"/>
      </c:legendEntry>
      <c:layout>
        <c:manualLayout>
          <c:xMode val="edge"/>
          <c:yMode val="edge"/>
          <c:x val="0.81684690804114857"/>
          <c:y val="0.35582949611008152"/>
          <c:w val="0.16045161636293762"/>
          <c:h val="0.288340335074518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[Gaza WASH Assessment_raw data_GVC_edited.xlsx]Pivots!PivotTable43</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s>
    <c:plotArea>
      <c:layout>
        <c:manualLayout>
          <c:layoutTarget val="inner"/>
          <c:xMode val="edge"/>
          <c:yMode val="edge"/>
          <c:x val="0.34848595249477204"/>
          <c:y val="9.4868477792151795E-2"/>
          <c:w val="0.47858516214491642"/>
          <c:h val="0.70506021805489061"/>
        </c:manualLayout>
      </c:layout>
      <c:barChart>
        <c:barDir val="bar"/>
        <c:grouping val="percentStacked"/>
        <c:varyColors val="0"/>
        <c:ser>
          <c:idx val="0"/>
          <c:order val="0"/>
          <c:tx>
            <c:strRef>
              <c:f>Pivots!$Q$173:$Q$174</c:f>
              <c:strCache>
                <c:ptCount val="1"/>
                <c:pt idx="0">
                  <c:v>No</c:v>
                </c:pt>
              </c:strCache>
            </c:strRef>
          </c:tx>
          <c:spPr>
            <a:solidFill>
              <a:schemeClr val="accent5">
                <a:lumMod val="60000"/>
                <a:lumOff val="40000"/>
              </a:schemeClr>
            </a:solidFill>
            <a:ln>
              <a:noFill/>
            </a:ln>
            <a:effectLst/>
          </c:spPr>
          <c:invertIfNegative val="0"/>
          <c:cat>
            <c:strRef>
              <c:f>Pivots!$P$175:$P$179</c:f>
              <c:strCache>
                <c:ptCount val="4"/>
                <c:pt idx="0">
                  <c:v>Unaffected</c:v>
                </c:pt>
                <c:pt idx="1">
                  <c:v>IDP</c:v>
                </c:pt>
                <c:pt idx="2">
                  <c:v>War-affected</c:v>
                </c:pt>
                <c:pt idx="3">
                  <c:v>WASH affected</c:v>
                </c:pt>
              </c:strCache>
            </c:strRef>
          </c:cat>
          <c:val>
            <c:numRef>
              <c:f>Pivots!$Q$175:$Q$179</c:f>
              <c:numCache>
                <c:formatCode>General</c:formatCode>
                <c:ptCount val="4"/>
                <c:pt idx="0">
                  <c:v>328</c:v>
                </c:pt>
                <c:pt idx="1">
                  <c:v>240</c:v>
                </c:pt>
                <c:pt idx="2">
                  <c:v>377</c:v>
                </c:pt>
                <c:pt idx="3">
                  <c:v>330</c:v>
                </c:pt>
              </c:numCache>
            </c:numRef>
          </c:val>
        </c:ser>
        <c:ser>
          <c:idx val="1"/>
          <c:order val="1"/>
          <c:tx>
            <c:strRef>
              <c:f>Pivots!$R$173:$R$174</c:f>
              <c:strCache>
                <c:ptCount val="1"/>
                <c:pt idx="0">
                  <c:v>Yes</c:v>
                </c:pt>
              </c:strCache>
            </c:strRef>
          </c:tx>
          <c:spPr>
            <a:solidFill>
              <a:schemeClr val="accent6">
                <a:lumMod val="75000"/>
              </a:schemeClr>
            </a:solidFill>
            <a:ln>
              <a:noFill/>
            </a:ln>
            <a:effectLst/>
          </c:spPr>
          <c:invertIfNegative val="0"/>
          <c:cat>
            <c:strRef>
              <c:f>Pivots!$P$175:$P$179</c:f>
              <c:strCache>
                <c:ptCount val="4"/>
                <c:pt idx="0">
                  <c:v>Unaffected</c:v>
                </c:pt>
                <c:pt idx="1">
                  <c:v>IDP</c:v>
                </c:pt>
                <c:pt idx="2">
                  <c:v>War-affected</c:v>
                </c:pt>
                <c:pt idx="3">
                  <c:v>WASH affected</c:v>
                </c:pt>
              </c:strCache>
            </c:strRef>
          </c:cat>
          <c:val>
            <c:numRef>
              <c:f>Pivots!$R$175:$R$179</c:f>
              <c:numCache>
                <c:formatCode>General</c:formatCode>
                <c:ptCount val="4"/>
                <c:pt idx="0">
                  <c:v>72</c:v>
                </c:pt>
                <c:pt idx="1">
                  <c:v>109</c:v>
                </c:pt>
                <c:pt idx="2">
                  <c:v>128</c:v>
                </c:pt>
                <c:pt idx="3">
                  <c:v>117</c:v>
                </c:pt>
              </c:numCache>
            </c:numRef>
          </c:val>
        </c:ser>
        <c:ser>
          <c:idx val="2"/>
          <c:order val="2"/>
          <c:tx>
            <c:strRef>
              <c:f>Pivots!$S$173:$S$174</c:f>
              <c:strCache>
                <c:ptCount val="1"/>
                <c:pt idx="0">
                  <c:v>(blank)</c:v>
                </c:pt>
              </c:strCache>
            </c:strRef>
          </c:tx>
          <c:spPr>
            <a:solidFill>
              <a:schemeClr val="accent3"/>
            </a:solidFill>
            <a:ln>
              <a:noFill/>
            </a:ln>
            <a:effectLst/>
          </c:spPr>
          <c:invertIfNegative val="0"/>
          <c:cat>
            <c:strRef>
              <c:f>Pivots!$P$175:$P$179</c:f>
              <c:strCache>
                <c:ptCount val="4"/>
                <c:pt idx="0">
                  <c:v>Unaffected</c:v>
                </c:pt>
                <c:pt idx="1">
                  <c:v>IDP</c:v>
                </c:pt>
                <c:pt idx="2">
                  <c:v>War-affected</c:v>
                </c:pt>
                <c:pt idx="3">
                  <c:v>WASH affected</c:v>
                </c:pt>
              </c:strCache>
            </c:strRef>
          </c:cat>
          <c:val>
            <c:numRef>
              <c:f>Pivots!$S$175:$S$179</c:f>
              <c:numCache>
                <c:formatCode>General</c:formatCode>
                <c:ptCount val="4"/>
              </c:numCache>
            </c:numRef>
          </c:val>
        </c:ser>
        <c:dLbls>
          <c:showLegendKey val="0"/>
          <c:showVal val="0"/>
          <c:showCatName val="0"/>
          <c:showSerName val="0"/>
          <c:showPercent val="0"/>
          <c:showBubbleSize val="0"/>
        </c:dLbls>
        <c:gapWidth val="50"/>
        <c:overlap val="100"/>
        <c:axId val="532159528"/>
        <c:axId val="532156784"/>
      </c:barChart>
      <c:catAx>
        <c:axId val="532159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156784"/>
        <c:crosses val="autoZero"/>
        <c:auto val="1"/>
        <c:lblAlgn val="ctr"/>
        <c:lblOffset val="100"/>
        <c:noMultiLvlLbl val="0"/>
      </c:catAx>
      <c:valAx>
        <c:axId val="532156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159528"/>
        <c:crosses val="autoZero"/>
        <c:crossBetween val="between"/>
        <c:majorUnit val="0.2"/>
      </c:valAx>
      <c:spPr>
        <a:noFill/>
        <a:ln>
          <a:noFill/>
        </a:ln>
        <a:effectLst/>
      </c:spPr>
    </c:plotArea>
    <c:legend>
      <c:legendPos val="r"/>
      <c:legendEntry>
        <c:idx val="2"/>
        <c:delete val="1"/>
      </c:legendEntry>
      <c:layout>
        <c:manualLayout>
          <c:xMode val="edge"/>
          <c:yMode val="edge"/>
          <c:x val="0.84877467342524937"/>
          <c:y val="0.34583736541341126"/>
          <c:w val="0.15122532657475049"/>
          <c:h val="0.291075775941978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[Gaza WASH Assessment_raw data_GVC_edited.xlsx]Pivots!PivotTable45</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s>
    <c:plotArea>
      <c:layout>
        <c:manualLayout>
          <c:layoutTarget val="inner"/>
          <c:xMode val="edge"/>
          <c:yMode val="edge"/>
          <c:x val="8.0087203871539989E-2"/>
          <c:y val="9.4786729857819899E-2"/>
          <c:w val="0.72250971731232949"/>
          <c:h val="0.7053143669406684"/>
        </c:manualLayout>
      </c:layout>
      <c:barChart>
        <c:barDir val="bar"/>
        <c:grouping val="percentStacked"/>
        <c:varyColors val="0"/>
        <c:ser>
          <c:idx val="0"/>
          <c:order val="0"/>
          <c:tx>
            <c:strRef>
              <c:f>Pivots!$AF$173:$AF$174</c:f>
              <c:strCache>
                <c:ptCount val="1"/>
                <c:pt idx="0">
                  <c:v>No</c:v>
                </c:pt>
              </c:strCache>
            </c:strRef>
          </c:tx>
          <c:spPr>
            <a:solidFill>
              <a:schemeClr val="accent5">
                <a:lumMod val="60000"/>
                <a:lumOff val="40000"/>
              </a:schemeClr>
            </a:solidFill>
            <a:ln>
              <a:noFill/>
            </a:ln>
            <a:effectLst/>
          </c:spPr>
          <c:invertIfNegative val="0"/>
          <c:cat>
            <c:strRef>
              <c:f>Pivots!$AE$175:$AE$180</c:f>
              <c:strCache>
                <c:ptCount val="5"/>
                <c:pt idx="0">
                  <c:v>1</c:v>
                </c:pt>
                <c:pt idx="1">
                  <c:v>2</c:v>
                </c:pt>
                <c:pt idx="2">
                  <c:v>3</c:v>
                </c:pt>
                <c:pt idx="3">
                  <c:v>4</c:v>
                </c:pt>
                <c:pt idx="4">
                  <c:v>5</c:v>
                </c:pt>
              </c:strCache>
            </c:strRef>
          </c:cat>
          <c:val>
            <c:numRef>
              <c:f>Pivots!$AF$175:$AF$180</c:f>
              <c:numCache>
                <c:formatCode>General</c:formatCode>
                <c:ptCount val="5"/>
                <c:pt idx="0">
                  <c:v>379</c:v>
                </c:pt>
                <c:pt idx="1">
                  <c:v>104</c:v>
                </c:pt>
                <c:pt idx="2">
                  <c:v>190</c:v>
                </c:pt>
                <c:pt idx="3">
                  <c:v>296</c:v>
                </c:pt>
                <c:pt idx="4">
                  <c:v>306</c:v>
                </c:pt>
              </c:numCache>
            </c:numRef>
          </c:val>
        </c:ser>
        <c:ser>
          <c:idx val="1"/>
          <c:order val="1"/>
          <c:tx>
            <c:strRef>
              <c:f>Pivots!$AG$173:$AG$174</c:f>
              <c:strCache>
                <c:ptCount val="1"/>
                <c:pt idx="0">
                  <c:v>Yes</c:v>
                </c:pt>
              </c:strCache>
            </c:strRef>
          </c:tx>
          <c:spPr>
            <a:solidFill>
              <a:schemeClr val="accent6">
                <a:lumMod val="75000"/>
              </a:schemeClr>
            </a:solidFill>
            <a:ln>
              <a:noFill/>
            </a:ln>
            <a:effectLst/>
          </c:spPr>
          <c:invertIfNegative val="0"/>
          <c:cat>
            <c:strRef>
              <c:f>Pivots!$AE$175:$AE$180</c:f>
              <c:strCache>
                <c:ptCount val="5"/>
                <c:pt idx="0">
                  <c:v>1</c:v>
                </c:pt>
                <c:pt idx="1">
                  <c:v>2</c:v>
                </c:pt>
                <c:pt idx="2">
                  <c:v>3</c:v>
                </c:pt>
                <c:pt idx="3">
                  <c:v>4</c:v>
                </c:pt>
                <c:pt idx="4">
                  <c:v>5</c:v>
                </c:pt>
              </c:strCache>
            </c:strRef>
          </c:cat>
          <c:val>
            <c:numRef>
              <c:f>Pivots!$AG$175:$AG$180</c:f>
              <c:numCache>
                <c:formatCode>General</c:formatCode>
                <c:ptCount val="5"/>
                <c:pt idx="0">
                  <c:v>146</c:v>
                </c:pt>
                <c:pt idx="1">
                  <c:v>40</c:v>
                </c:pt>
                <c:pt idx="2">
                  <c:v>69</c:v>
                </c:pt>
                <c:pt idx="3">
                  <c:v>93</c:v>
                </c:pt>
                <c:pt idx="4">
                  <c:v>78</c:v>
                </c:pt>
              </c:numCache>
            </c:numRef>
          </c:val>
        </c:ser>
        <c:ser>
          <c:idx val="2"/>
          <c:order val="2"/>
          <c:tx>
            <c:strRef>
              <c:f>Pivots!$AH$173:$AH$174</c:f>
              <c:strCache>
                <c:ptCount val="1"/>
                <c:pt idx="0">
                  <c:v>(blank)</c:v>
                </c:pt>
              </c:strCache>
            </c:strRef>
          </c:tx>
          <c:spPr>
            <a:solidFill>
              <a:schemeClr val="accent3"/>
            </a:solidFill>
            <a:ln>
              <a:noFill/>
            </a:ln>
            <a:effectLst/>
          </c:spPr>
          <c:invertIfNegative val="0"/>
          <c:cat>
            <c:strRef>
              <c:f>Pivots!$AE$175:$AE$180</c:f>
              <c:strCache>
                <c:ptCount val="5"/>
                <c:pt idx="0">
                  <c:v>1</c:v>
                </c:pt>
                <c:pt idx="1">
                  <c:v>2</c:v>
                </c:pt>
                <c:pt idx="2">
                  <c:v>3</c:v>
                </c:pt>
                <c:pt idx="3">
                  <c:v>4</c:v>
                </c:pt>
                <c:pt idx="4">
                  <c:v>5</c:v>
                </c:pt>
              </c:strCache>
            </c:strRef>
          </c:cat>
          <c:val>
            <c:numRef>
              <c:f>Pivots!$AH$175:$AH$180</c:f>
              <c:numCache>
                <c:formatCode>General</c:formatCode>
                <c:ptCount val="5"/>
              </c:numCache>
            </c:numRef>
          </c:val>
        </c:ser>
        <c:dLbls>
          <c:showLegendKey val="0"/>
          <c:showVal val="0"/>
          <c:showCatName val="0"/>
          <c:showSerName val="0"/>
          <c:showPercent val="0"/>
          <c:showBubbleSize val="0"/>
        </c:dLbls>
        <c:gapWidth val="50"/>
        <c:overlap val="100"/>
        <c:axId val="532157568"/>
        <c:axId val="532155216"/>
      </c:barChart>
      <c:catAx>
        <c:axId val="532157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155216"/>
        <c:crosses val="autoZero"/>
        <c:auto val="1"/>
        <c:lblAlgn val="ctr"/>
        <c:lblOffset val="100"/>
        <c:noMultiLvlLbl val="0"/>
      </c:catAx>
      <c:valAx>
        <c:axId val="5321552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157568"/>
        <c:crosses val="autoZero"/>
        <c:crossBetween val="between"/>
        <c:majorUnit val="0.2"/>
      </c:valAx>
      <c:spPr>
        <a:noFill/>
        <a:ln>
          <a:noFill/>
        </a:ln>
        <a:effectLst/>
      </c:spPr>
    </c:plotArea>
    <c:legend>
      <c:legendPos val="r"/>
      <c:legendEntry>
        <c:idx val="2"/>
        <c:delete val="1"/>
      </c:legendEntry>
      <c:layout>
        <c:manualLayout>
          <c:xMode val="edge"/>
          <c:yMode val="edge"/>
          <c:x val="0.82456360655817806"/>
          <c:y val="0.35848924544809257"/>
          <c:w val="0.17543639344182194"/>
          <c:h val="0.28302084880899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latin typeface="+mn-lt"/>
              </a:rPr>
              <a:t>IDP HHs: Sufficiency</a:t>
            </a:r>
            <a:r>
              <a:rPr lang="en-US" sz="1050" baseline="0">
                <a:latin typeface="+mn-lt"/>
              </a:rPr>
              <a:t> of Domestic Water Storage</a:t>
            </a:r>
            <a:endParaRPr lang="en-US" sz="1050">
              <a:latin typeface="+mn-lt"/>
            </a:endParaRP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446950840886439"/>
          <c:y val="0.22747559274755927"/>
          <c:w val="0.79693318653259793"/>
          <c:h val="0.4234419442339582"/>
        </c:manualLayout>
      </c:layout>
      <c:barChart>
        <c:barDir val="col"/>
        <c:grouping val="stacked"/>
        <c:varyColors val="0"/>
        <c:ser>
          <c:idx val="1"/>
          <c:order val="0"/>
          <c:tx>
            <c:strRef>
              <c:f>DomQuant!$F$3</c:f>
              <c:strCache>
                <c:ptCount val="1"/>
                <c:pt idx="0">
                  <c:v>% Sufficient</c:v>
                </c:pt>
              </c:strCache>
            </c:strRef>
          </c:tx>
          <c:spPr>
            <a:solidFill>
              <a:schemeClr val="accent5">
                <a:lumMod val="60000"/>
                <a:lumOff val="40000"/>
              </a:schemeClr>
            </a:solidFill>
            <a:ln>
              <a:noFill/>
            </a:ln>
            <a:effectLst/>
          </c:spPr>
          <c:invertIfNegative val="0"/>
          <c:dLbls>
            <c:dLbl>
              <c:idx val="5"/>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DomQuant!$D$4:$D$9</c:f>
              <c:strCache>
                <c:ptCount val="6"/>
                <c:pt idx="0">
                  <c:v>North Gaza</c:v>
                </c:pt>
                <c:pt idx="1">
                  <c:v>Gaza</c:v>
                </c:pt>
                <c:pt idx="2">
                  <c:v>Deir al-Balah</c:v>
                </c:pt>
                <c:pt idx="3">
                  <c:v>Khan Yunis</c:v>
                </c:pt>
                <c:pt idx="4">
                  <c:v>Rafah</c:v>
                </c:pt>
                <c:pt idx="5">
                  <c:v>Average</c:v>
                </c:pt>
              </c:strCache>
            </c:strRef>
          </c:cat>
          <c:val>
            <c:numRef>
              <c:f>DomQuant!$F$4:$F$9</c:f>
              <c:numCache>
                <c:formatCode>0%</c:formatCode>
                <c:ptCount val="6"/>
                <c:pt idx="0">
                  <c:v>0.35444234404536901</c:v>
                </c:pt>
                <c:pt idx="1">
                  <c:v>0.34964200477327001</c:v>
                </c:pt>
                <c:pt idx="2">
                  <c:v>0.50617283950617298</c:v>
                </c:pt>
                <c:pt idx="3">
                  <c:v>0.16151202749140903</c:v>
                </c:pt>
                <c:pt idx="4">
                  <c:v>0.39277899343544898</c:v>
                </c:pt>
                <c:pt idx="5">
                  <c:v>0.35290964185033402</c:v>
                </c:pt>
              </c:numCache>
            </c:numRef>
          </c:val>
        </c:ser>
        <c:ser>
          <c:idx val="0"/>
          <c:order val="1"/>
          <c:tx>
            <c:strRef>
              <c:f>DomQuant!$E$3</c:f>
              <c:strCache>
                <c:ptCount val="1"/>
                <c:pt idx="0">
                  <c:v>% Insufficient</c:v>
                </c:pt>
              </c:strCache>
            </c:strRef>
          </c:tx>
          <c:spPr>
            <a:solidFill>
              <a:schemeClr val="accent6">
                <a:lumMod val="75000"/>
              </a:schemeClr>
            </a:solidFill>
            <a:ln>
              <a:noFill/>
            </a:ln>
            <a:effectLst/>
          </c:spPr>
          <c:invertIfNegative val="0"/>
          <c:dLbls>
            <c:dLbl>
              <c:idx val="5"/>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DomQuant!$D$4:$D$9</c:f>
              <c:strCache>
                <c:ptCount val="6"/>
                <c:pt idx="0">
                  <c:v>North Gaza</c:v>
                </c:pt>
                <c:pt idx="1">
                  <c:v>Gaza</c:v>
                </c:pt>
                <c:pt idx="2">
                  <c:v>Deir al-Balah</c:v>
                </c:pt>
                <c:pt idx="3">
                  <c:v>Khan Yunis</c:v>
                </c:pt>
                <c:pt idx="4">
                  <c:v>Rafah</c:v>
                </c:pt>
                <c:pt idx="5">
                  <c:v>Average</c:v>
                </c:pt>
              </c:strCache>
            </c:strRef>
          </c:cat>
          <c:val>
            <c:numRef>
              <c:f>DomQuant!$E$4:$E$9</c:f>
              <c:numCache>
                <c:formatCode>0%</c:formatCode>
                <c:ptCount val="6"/>
                <c:pt idx="0">
                  <c:v>0.64555765595463099</c:v>
                </c:pt>
                <c:pt idx="1">
                  <c:v>0.65035799522672999</c:v>
                </c:pt>
                <c:pt idx="2">
                  <c:v>0.49382716049382702</c:v>
                </c:pt>
                <c:pt idx="3">
                  <c:v>0.83848797250859097</c:v>
                </c:pt>
                <c:pt idx="4">
                  <c:v>0.60722100656455102</c:v>
                </c:pt>
                <c:pt idx="5">
                  <c:v>0.64709035814966598</c:v>
                </c:pt>
              </c:numCache>
            </c:numRef>
          </c:val>
        </c:ser>
        <c:dLbls>
          <c:showLegendKey val="0"/>
          <c:showVal val="0"/>
          <c:showCatName val="0"/>
          <c:showSerName val="0"/>
          <c:showPercent val="0"/>
          <c:showBubbleSize val="0"/>
        </c:dLbls>
        <c:gapWidth val="100"/>
        <c:overlap val="100"/>
        <c:axId val="528671480"/>
        <c:axId val="528671872"/>
      </c:barChart>
      <c:catAx>
        <c:axId val="528671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671872"/>
        <c:crosses val="autoZero"/>
        <c:auto val="1"/>
        <c:lblAlgn val="ctr"/>
        <c:lblOffset val="100"/>
        <c:noMultiLvlLbl val="0"/>
      </c:catAx>
      <c:valAx>
        <c:axId val="52867187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671480"/>
        <c:crosses val="autoZero"/>
        <c:crossBetween val="between"/>
        <c:majorUnit val="0.25"/>
      </c:valAx>
      <c:spPr>
        <a:noFill/>
        <a:ln>
          <a:noFill/>
        </a:ln>
        <a:effectLst/>
      </c:spPr>
    </c:plotArea>
    <c:legend>
      <c:legendPos val="b"/>
      <c:layout>
        <c:manualLayout>
          <c:xMode val="edge"/>
          <c:yMode val="edge"/>
          <c:x val="0.20277321199661175"/>
          <c:y val="0.86140084999835276"/>
          <c:w val="0.59445322813773527"/>
          <c:h val="0.117678647909597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pivotSource>
    <c:name>[Gaza WASH Assessment_raw data_GVC_edited.xlsx]Sheet1!PivotTable18</c:name>
    <c:fmtId val="-1"/>
  </c:pivotSource>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Domestic</a:t>
            </a:r>
            <a:r>
              <a:rPr lang="en-US" sz="1100" baseline="0"/>
              <a:t> Water Tank Volume by HH-Head</a:t>
            </a:r>
            <a:endParaRPr lang="en-US" sz="1100"/>
          </a:p>
        </c:rich>
      </c:tx>
      <c:layout>
        <c:manualLayout>
          <c:xMode val="edge"/>
          <c:yMode val="edge"/>
          <c:x val="0.10689854825057436"/>
          <c:y val="9.1501353028545854E-3"/>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3"/>
          </a:solidFill>
          <a:ln>
            <a:noFill/>
          </a:ln>
          <a:effectLst/>
        </c:spPr>
        <c:marker>
          <c:symbol val="none"/>
        </c:marker>
      </c:pivotFmt>
      <c:pivotFmt>
        <c:idx val="1"/>
        <c:spPr>
          <a:solidFill>
            <a:schemeClr val="accent3"/>
          </a:solidFill>
          <a:ln>
            <a:noFill/>
          </a:ln>
          <a:effectLst/>
        </c:spPr>
        <c:marker>
          <c:symbol val="none"/>
        </c:marker>
      </c:pivotFmt>
      <c:pivotFmt>
        <c:idx val="2"/>
        <c:spPr>
          <a:solidFill>
            <a:schemeClr val="accent3"/>
          </a:solidFill>
          <a:ln>
            <a:noFill/>
          </a:ln>
          <a:effectLst/>
        </c:spPr>
        <c:marker>
          <c:symbol val="none"/>
        </c:marker>
      </c:pivotFmt>
      <c:pivotFmt>
        <c:idx val="3"/>
        <c:spPr>
          <a:solidFill>
            <a:schemeClr val="accent3"/>
          </a:solidFill>
          <a:ln>
            <a:noFill/>
          </a:ln>
          <a:effectLst/>
        </c:spPr>
        <c:marker>
          <c:symbol val="none"/>
        </c:marker>
      </c:pivotFmt>
      <c:pivotFmt>
        <c:idx val="4"/>
        <c:spPr>
          <a:solidFill>
            <a:schemeClr val="accent3"/>
          </a:solidFill>
          <a:ln>
            <a:noFill/>
          </a:ln>
          <a:effectLst/>
        </c:spPr>
        <c:marker>
          <c:symbol val="none"/>
        </c:marker>
      </c:pivotFmt>
      <c:pivotFmt>
        <c:idx val="5"/>
        <c:spPr>
          <a:solidFill>
            <a:schemeClr val="accent3"/>
          </a:solidFill>
          <a:ln>
            <a:noFill/>
          </a:ln>
          <a:effectLst/>
        </c:spPr>
        <c:marker>
          <c:symbol val="none"/>
        </c:marker>
      </c:pivotFmt>
      <c:pivotFmt>
        <c:idx val="6"/>
        <c:spPr>
          <a:solidFill>
            <a:schemeClr val="accent3"/>
          </a:solidFill>
          <a:ln>
            <a:noFill/>
          </a:ln>
          <a:effectLst/>
        </c:spPr>
        <c:marker>
          <c:symbol val="none"/>
        </c:marker>
      </c:pivotFmt>
      <c:pivotFmt>
        <c:idx val="7"/>
        <c:spPr>
          <a:solidFill>
            <a:schemeClr val="accent3"/>
          </a:solidFill>
          <a:ln>
            <a:noFill/>
          </a:ln>
          <a:effectLst/>
        </c:spPr>
        <c:marker>
          <c:symbol val="none"/>
        </c:marker>
      </c:pivotFmt>
      <c:pivotFmt>
        <c:idx val="8"/>
        <c:spPr>
          <a:solidFill>
            <a:schemeClr val="accent3"/>
          </a:solidFill>
          <a:ln>
            <a:noFill/>
          </a:ln>
          <a:effectLst/>
        </c:spPr>
        <c:marker>
          <c:symbol val="none"/>
        </c:marker>
      </c:pivotFmt>
      <c:pivotFmt>
        <c:idx val="9"/>
        <c:spPr>
          <a:solidFill>
            <a:schemeClr val="accent3"/>
          </a:solidFill>
          <a:ln>
            <a:noFill/>
          </a:ln>
          <a:effectLst/>
        </c:spPr>
        <c:marker>
          <c:symbol val="none"/>
        </c:marker>
      </c:pivotFmt>
      <c:pivotFmt>
        <c:idx val="10"/>
        <c:spPr>
          <a:solidFill>
            <a:schemeClr val="accent3"/>
          </a:solidFill>
          <a:ln>
            <a:noFill/>
          </a:ln>
          <a:effectLst/>
        </c:spPr>
        <c:marker>
          <c:symbol val="none"/>
        </c:marker>
      </c:pivotFmt>
      <c:pivotFmt>
        <c:idx val="11"/>
        <c:spPr>
          <a:solidFill>
            <a:schemeClr val="accent3"/>
          </a:solidFill>
          <a:ln>
            <a:noFill/>
          </a:ln>
          <a:effectLst/>
        </c:spPr>
        <c:marker>
          <c:symbol val="none"/>
        </c:marker>
      </c:pivotFmt>
      <c:pivotFmt>
        <c:idx val="12"/>
        <c:spPr>
          <a:solidFill>
            <a:schemeClr val="accent3"/>
          </a:solidFill>
          <a:ln>
            <a:noFill/>
          </a:ln>
          <a:effectLst/>
        </c:spPr>
        <c:marker>
          <c:symbol val="none"/>
        </c:marker>
      </c:pivotFmt>
      <c:pivotFmt>
        <c:idx val="13"/>
        <c:spPr>
          <a:solidFill>
            <a:schemeClr val="accent3"/>
          </a:solidFill>
          <a:ln>
            <a:noFill/>
          </a:ln>
          <a:effectLst/>
        </c:spPr>
        <c:marker>
          <c:symbol val="none"/>
        </c:marker>
      </c:pivotFmt>
      <c:pivotFmt>
        <c:idx val="14"/>
        <c:spPr>
          <a:solidFill>
            <a:schemeClr val="accent3"/>
          </a:solidFill>
          <a:ln>
            <a:noFill/>
          </a:ln>
          <a:effectLst/>
        </c:spPr>
        <c:marker>
          <c:symbol val="none"/>
        </c:marker>
      </c:pivotFmt>
      <c:pivotFmt>
        <c:idx val="15"/>
        <c:spPr>
          <a:solidFill>
            <a:schemeClr val="accent3"/>
          </a:solidFill>
          <a:ln>
            <a:noFill/>
          </a:ln>
          <a:effectLst/>
        </c:spPr>
        <c:marker>
          <c:symbol val="none"/>
        </c:marker>
      </c:pivotFmt>
      <c:pivotFmt>
        <c:idx val="16"/>
        <c:spPr>
          <a:solidFill>
            <a:schemeClr val="accent3"/>
          </a:solidFill>
          <a:ln>
            <a:noFill/>
          </a:ln>
          <a:effectLst/>
        </c:spPr>
        <c:marker>
          <c:symbol val="none"/>
        </c:marker>
      </c:pivotFmt>
      <c:pivotFmt>
        <c:idx val="17"/>
        <c:spPr>
          <a:solidFill>
            <a:schemeClr val="accent3"/>
          </a:solidFill>
          <a:ln>
            <a:noFill/>
          </a:ln>
          <a:effectLst/>
        </c:spPr>
        <c:marker>
          <c:symbol val="none"/>
        </c:marker>
      </c:pivotFmt>
      <c:pivotFmt>
        <c:idx val="18"/>
        <c:spPr>
          <a:solidFill>
            <a:schemeClr val="accent3"/>
          </a:solidFill>
          <a:ln>
            <a:noFill/>
          </a:ln>
          <a:effectLst/>
        </c:spPr>
        <c:marker>
          <c:symbol val="none"/>
        </c:marker>
      </c:pivotFmt>
      <c:pivotFmt>
        <c:idx val="19"/>
        <c:spPr>
          <a:solidFill>
            <a:schemeClr val="accent3"/>
          </a:solidFill>
          <a:ln>
            <a:noFill/>
          </a:ln>
          <a:effectLst/>
        </c:spPr>
        <c:marker>
          <c:symbol val="none"/>
        </c:marker>
      </c:pivotFmt>
      <c:pivotFmt>
        <c:idx val="20"/>
        <c:spPr>
          <a:solidFill>
            <a:schemeClr val="accent3"/>
          </a:solidFill>
          <a:ln>
            <a:noFill/>
          </a:ln>
          <a:effectLst/>
        </c:spPr>
        <c:marker>
          <c:symbol val="none"/>
        </c:marker>
      </c:pivotFmt>
      <c:pivotFmt>
        <c:idx val="21"/>
        <c:spPr>
          <a:solidFill>
            <a:schemeClr val="accent3"/>
          </a:solidFill>
          <a:ln>
            <a:noFill/>
          </a:ln>
          <a:effectLst/>
        </c:spPr>
        <c:marker>
          <c:symbol val="none"/>
        </c:marker>
      </c:pivotFmt>
      <c:pivotFmt>
        <c:idx val="22"/>
        <c:spPr>
          <a:solidFill>
            <a:schemeClr val="accent3"/>
          </a:solidFill>
          <a:ln>
            <a:noFill/>
          </a:ln>
          <a:effectLst/>
        </c:spPr>
        <c:marker>
          <c:symbol val="none"/>
        </c:marker>
      </c:pivotFmt>
      <c:pivotFmt>
        <c:idx val="23"/>
        <c:spPr>
          <a:solidFill>
            <a:schemeClr val="accent3"/>
          </a:solidFill>
          <a:ln>
            <a:noFill/>
          </a:ln>
          <a:effectLst/>
        </c:spPr>
        <c:marker>
          <c:symbol val="none"/>
        </c:marker>
      </c:pivotFmt>
      <c:pivotFmt>
        <c:idx val="24"/>
        <c:spPr>
          <a:solidFill>
            <a:schemeClr val="accent3"/>
          </a:solidFill>
          <a:ln>
            <a:noFill/>
          </a:ln>
          <a:effectLst/>
        </c:spPr>
        <c:marker>
          <c:symbol val="none"/>
        </c:marker>
      </c:pivotFmt>
      <c:pivotFmt>
        <c:idx val="25"/>
        <c:spPr>
          <a:solidFill>
            <a:schemeClr val="accent3"/>
          </a:solidFill>
          <a:ln>
            <a:noFill/>
          </a:ln>
          <a:effectLst/>
        </c:spPr>
        <c:marker>
          <c:symbol val="none"/>
        </c:marker>
      </c:pivotFmt>
      <c:pivotFmt>
        <c:idx val="26"/>
        <c:spPr>
          <a:solidFill>
            <a:schemeClr val="accent3"/>
          </a:solidFill>
          <a:ln>
            <a:noFill/>
          </a:ln>
          <a:effectLst/>
        </c:spPr>
        <c:marker>
          <c:symbol val="none"/>
        </c:marker>
      </c:pivotFmt>
      <c:pivotFmt>
        <c:idx val="27"/>
        <c:spPr>
          <a:solidFill>
            <a:schemeClr val="accent3"/>
          </a:solidFill>
          <a:ln>
            <a:noFill/>
          </a:ln>
          <a:effectLst/>
        </c:spPr>
        <c:marker>
          <c:symbol val="none"/>
        </c:marker>
      </c:pivotFmt>
      <c:pivotFmt>
        <c:idx val="28"/>
        <c:spPr>
          <a:solidFill>
            <a:schemeClr val="accent3"/>
          </a:solidFill>
          <a:ln>
            <a:noFill/>
          </a:ln>
          <a:effectLst/>
        </c:spPr>
        <c:marker>
          <c:symbol val="none"/>
        </c:marker>
      </c:pivotFmt>
      <c:pivotFmt>
        <c:idx val="29"/>
        <c:spPr>
          <a:solidFill>
            <a:schemeClr val="accent3"/>
          </a:solidFill>
          <a:ln>
            <a:noFill/>
          </a:ln>
          <a:effectLst/>
        </c:spPr>
        <c:marker>
          <c:symbol val="none"/>
        </c:marker>
      </c:pivotFmt>
      <c:pivotFmt>
        <c:idx val="30"/>
        <c:spPr>
          <a:solidFill>
            <a:schemeClr val="accent3"/>
          </a:solidFill>
          <a:ln>
            <a:noFill/>
          </a:ln>
          <a:effectLst/>
        </c:spPr>
        <c:marker>
          <c:symbol val="none"/>
        </c:marker>
      </c:pivotFmt>
      <c:pivotFmt>
        <c:idx val="31"/>
        <c:spPr>
          <a:solidFill>
            <a:schemeClr val="accent3"/>
          </a:solidFill>
          <a:ln>
            <a:noFill/>
          </a:ln>
          <a:effectLst/>
        </c:spPr>
        <c:marker>
          <c:symbol val="none"/>
        </c:marker>
      </c:pivotFmt>
      <c:pivotFmt>
        <c:idx val="32"/>
        <c:spPr>
          <a:solidFill>
            <a:schemeClr val="accent3"/>
          </a:solidFill>
          <a:ln>
            <a:noFill/>
          </a:ln>
          <a:effectLst/>
        </c:spPr>
        <c:marker>
          <c:symbol val="none"/>
        </c:marker>
      </c:pivotFmt>
    </c:pivotFmts>
    <c:plotArea>
      <c:layout>
        <c:manualLayout>
          <c:layoutTarget val="inner"/>
          <c:xMode val="edge"/>
          <c:yMode val="edge"/>
          <c:x val="0.21675701827594135"/>
          <c:y val="0.1916078431372549"/>
          <c:w val="0.54555107440838191"/>
          <c:h val="0.62644495908599651"/>
        </c:manualLayout>
      </c:layout>
      <c:barChart>
        <c:barDir val="bar"/>
        <c:grouping val="percentStacked"/>
        <c:varyColors val="0"/>
        <c:ser>
          <c:idx val="0"/>
          <c:order val="0"/>
          <c:tx>
            <c:strRef>
              <c:f>Sheet1!$AT$62:$AT$63</c:f>
              <c:strCache>
                <c:ptCount val="1"/>
                <c:pt idx="0">
                  <c:v>0</c:v>
                </c:pt>
              </c:strCache>
            </c:strRef>
          </c:tx>
          <c:spPr>
            <a:solidFill>
              <a:schemeClr val="accent6">
                <a:lumMod val="75000"/>
              </a:schemeClr>
            </a:solidFill>
            <a:ln>
              <a:noFill/>
            </a:ln>
            <a:effectLst/>
          </c:spPr>
          <c:invertIfNegative val="0"/>
          <c:cat>
            <c:strRef>
              <c:f>Sheet1!$AS$64:$AS$66</c:f>
              <c:strCache>
                <c:ptCount val="2"/>
                <c:pt idx="0">
                  <c:v>Male-headed</c:v>
                </c:pt>
                <c:pt idx="1">
                  <c:v>Female-headed</c:v>
                </c:pt>
              </c:strCache>
            </c:strRef>
          </c:cat>
          <c:val>
            <c:numRef>
              <c:f>Sheet1!$AT$64:$AT$66</c:f>
              <c:numCache>
                <c:formatCode>General</c:formatCode>
                <c:ptCount val="2"/>
                <c:pt idx="0">
                  <c:v>12</c:v>
                </c:pt>
                <c:pt idx="1">
                  <c:v>4</c:v>
                </c:pt>
              </c:numCache>
            </c:numRef>
          </c:val>
        </c:ser>
        <c:ser>
          <c:idx val="1"/>
          <c:order val="1"/>
          <c:tx>
            <c:strRef>
              <c:f>Sheet1!$AU$62:$AU$63</c:f>
              <c:strCache>
                <c:ptCount val="1"/>
                <c:pt idx="0">
                  <c:v>1-200</c:v>
                </c:pt>
              </c:strCache>
            </c:strRef>
          </c:tx>
          <c:spPr>
            <a:solidFill>
              <a:schemeClr val="accent3">
                <a:tint val="54000"/>
              </a:schemeClr>
            </a:solidFill>
            <a:ln>
              <a:noFill/>
            </a:ln>
            <a:effectLst/>
          </c:spPr>
          <c:invertIfNegative val="0"/>
          <c:cat>
            <c:strRef>
              <c:f>Sheet1!$AS$64:$AS$66</c:f>
              <c:strCache>
                <c:ptCount val="2"/>
                <c:pt idx="0">
                  <c:v>Male-headed</c:v>
                </c:pt>
                <c:pt idx="1">
                  <c:v>Female-headed</c:v>
                </c:pt>
              </c:strCache>
            </c:strRef>
          </c:cat>
          <c:val>
            <c:numRef>
              <c:f>Sheet1!$AU$64:$AU$66</c:f>
              <c:numCache>
                <c:formatCode>General</c:formatCode>
                <c:ptCount val="2"/>
                <c:pt idx="0">
                  <c:v>27</c:v>
                </c:pt>
                <c:pt idx="1">
                  <c:v>7</c:v>
                </c:pt>
              </c:numCache>
            </c:numRef>
          </c:val>
        </c:ser>
        <c:ser>
          <c:idx val="2"/>
          <c:order val="2"/>
          <c:tx>
            <c:strRef>
              <c:f>Sheet1!$AV$62:$AV$63</c:f>
              <c:strCache>
                <c:ptCount val="1"/>
                <c:pt idx="0">
                  <c:v>201-400</c:v>
                </c:pt>
              </c:strCache>
            </c:strRef>
          </c:tx>
          <c:spPr>
            <a:solidFill>
              <a:schemeClr val="accent3">
                <a:tint val="65000"/>
              </a:schemeClr>
            </a:solidFill>
            <a:ln>
              <a:noFill/>
            </a:ln>
            <a:effectLst/>
          </c:spPr>
          <c:invertIfNegative val="0"/>
          <c:cat>
            <c:strRef>
              <c:f>Sheet1!$AS$64:$AS$66</c:f>
              <c:strCache>
                <c:ptCount val="2"/>
                <c:pt idx="0">
                  <c:v>Male-headed</c:v>
                </c:pt>
                <c:pt idx="1">
                  <c:v>Female-headed</c:v>
                </c:pt>
              </c:strCache>
            </c:strRef>
          </c:cat>
          <c:val>
            <c:numRef>
              <c:f>Sheet1!$AV$64:$AV$66</c:f>
              <c:numCache>
                <c:formatCode>General</c:formatCode>
                <c:ptCount val="2"/>
                <c:pt idx="0">
                  <c:v>29</c:v>
                </c:pt>
                <c:pt idx="1">
                  <c:v>6</c:v>
                </c:pt>
              </c:numCache>
            </c:numRef>
          </c:val>
        </c:ser>
        <c:ser>
          <c:idx val="3"/>
          <c:order val="3"/>
          <c:tx>
            <c:strRef>
              <c:f>Sheet1!$AW$62:$AW$63</c:f>
              <c:strCache>
                <c:ptCount val="1"/>
                <c:pt idx="0">
                  <c:v>401-600</c:v>
                </c:pt>
              </c:strCache>
            </c:strRef>
          </c:tx>
          <c:spPr>
            <a:solidFill>
              <a:schemeClr val="accent3">
                <a:tint val="77000"/>
              </a:schemeClr>
            </a:solidFill>
            <a:ln>
              <a:noFill/>
            </a:ln>
            <a:effectLst/>
          </c:spPr>
          <c:invertIfNegative val="0"/>
          <c:cat>
            <c:strRef>
              <c:f>Sheet1!$AS$64:$AS$66</c:f>
              <c:strCache>
                <c:ptCount val="2"/>
                <c:pt idx="0">
                  <c:v>Male-headed</c:v>
                </c:pt>
                <c:pt idx="1">
                  <c:v>Female-headed</c:v>
                </c:pt>
              </c:strCache>
            </c:strRef>
          </c:cat>
          <c:val>
            <c:numRef>
              <c:f>Sheet1!$AW$64:$AW$66</c:f>
              <c:numCache>
                <c:formatCode>General</c:formatCode>
                <c:ptCount val="2"/>
                <c:pt idx="0">
                  <c:v>335</c:v>
                </c:pt>
                <c:pt idx="1">
                  <c:v>51</c:v>
                </c:pt>
              </c:numCache>
            </c:numRef>
          </c:val>
        </c:ser>
        <c:ser>
          <c:idx val="4"/>
          <c:order val="4"/>
          <c:tx>
            <c:strRef>
              <c:f>Sheet1!$AX$62:$AX$63</c:f>
              <c:strCache>
                <c:ptCount val="1"/>
                <c:pt idx="0">
                  <c:v>601-800</c:v>
                </c:pt>
              </c:strCache>
            </c:strRef>
          </c:tx>
          <c:spPr>
            <a:solidFill>
              <a:schemeClr val="accent3">
                <a:tint val="89000"/>
              </a:schemeClr>
            </a:solidFill>
            <a:ln>
              <a:noFill/>
            </a:ln>
            <a:effectLst/>
          </c:spPr>
          <c:invertIfNegative val="0"/>
          <c:cat>
            <c:strRef>
              <c:f>Sheet1!$AS$64:$AS$66</c:f>
              <c:strCache>
                <c:ptCount val="2"/>
                <c:pt idx="0">
                  <c:v>Male-headed</c:v>
                </c:pt>
                <c:pt idx="1">
                  <c:v>Female-headed</c:v>
                </c:pt>
              </c:strCache>
            </c:strRef>
          </c:cat>
          <c:val>
            <c:numRef>
              <c:f>Sheet1!$AX$64:$AX$66</c:f>
              <c:numCache>
                <c:formatCode>General</c:formatCode>
                <c:ptCount val="2"/>
                <c:pt idx="0">
                  <c:v>49</c:v>
                </c:pt>
                <c:pt idx="1">
                  <c:v>11</c:v>
                </c:pt>
              </c:numCache>
            </c:numRef>
          </c:val>
        </c:ser>
        <c:ser>
          <c:idx val="5"/>
          <c:order val="5"/>
          <c:tx>
            <c:strRef>
              <c:f>Sheet1!$AY$62:$AY$63</c:f>
              <c:strCache>
                <c:ptCount val="1"/>
                <c:pt idx="0">
                  <c:v>801-1000</c:v>
                </c:pt>
              </c:strCache>
            </c:strRef>
          </c:tx>
          <c:spPr>
            <a:solidFill>
              <a:schemeClr val="accent3"/>
            </a:solidFill>
            <a:ln>
              <a:noFill/>
            </a:ln>
            <a:effectLst/>
          </c:spPr>
          <c:invertIfNegative val="0"/>
          <c:cat>
            <c:strRef>
              <c:f>Sheet1!$AS$64:$AS$66</c:f>
              <c:strCache>
                <c:ptCount val="2"/>
                <c:pt idx="0">
                  <c:v>Male-headed</c:v>
                </c:pt>
                <c:pt idx="1">
                  <c:v>Female-headed</c:v>
                </c:pt>
              </c:strCache>
            </c:strRef>
          </c:cat>
          <c:val>
            <c:numRef>
              <c:f>Sheet1!$AY$64:$AY$66</c:f>
              <c:numCache>
                <c:formatCode>General</c:formatCode>
                <c:ptCount val="2"/>
                <c:pt idx="0">
                  <c:v>862</c:v>
                </c:pt>
                <c:pt idx="1">
                  <c:v>104</c:v>
                </c:pt>
              </c:numCache>
            </c:numRef>
          </c:val>
        </c:ser>
        <c:ser>
          <c:idx val="6"/>
          <c:order val="6"/>
          <c:tx>
            <c:strRef>
              <c:f>Sheet1!$AZ$62:$AZ$63</c:f>
              <c:strCache>
                <c:ptCount val="1"/>
                <c:pt idx="0">
                  <c:v>1001-1500</c:v>
                </c:pt>
              </c:strCache>
            </c:strRef>
          </c:tx>
          <c:spPr>
            <a:solidFill>
              <a:schemeClr val="accent3">
                <a:shade val="88000"/>
              </a:schemeClr>
            </a:solidFill>
            <a:ln>
              <a:noFill/>
            </a:ln>
            <a:effectLst/>
          </c:spPr>
          <c:invertIfNegative val="0"/>
          <c:cat>
            <c:strRef>
              <c:f>Sheet1!$AS$64:$AS$66</c:f>
              <c:strCache>
                <c:ptCount val="2"/>
                <c:pt idx="0">
                  <c:v>Male-headed</c:v>
                </c:pt>
                <c:pt idx="1">
                  <c:v>Female-headed</c:v>
                </c:pt>
              </c:strCache>
            </c:strRef>
          </c:cat>
          <c:val>
            <c:numRef>
              <c:f>Sheet1!$AZ$64:$AZ$66</c:f>
              <c:numCache>
                <c:formatCode>General</c:formatCode>
                <c:ptCount val="2"/>
                <c:pt idx="0">
                  <c:v>691</c:v>
                </c:pt>
                <c:pt idx="1">
                  <c:v>67</c:v>
                </c:pt>
              </c:numCache>
            </c:numRef>
          </c:val>
        </c:ser>
        <c:ser>
          <c:idx val="7"/>
          <c:order val="7"/>
          <c:tx>
            <c:strRef>
              <c:f>Sheet1!$BA$62:$BA$63</c:f>
              <c:strCache>
                <c:ptCount val="1"/>
                <c:pt idx="0">
                  <c:v>1501-2000</c:v>
                </c:pt>
              </c:strCache>
            </c:strRef>
          </c:tx>
          <c:spPr>
            <a:solidFill>
              <a:schemeClr val="accent3">
                <a:shade val="76000"/>
              </a:schemeClr>
            </a:solidFill>
            <a:ln>
              <a:noFill/>
            </a:ln>
            <a:effectLst/>
          </c:spPr>
          <c:invertIfNegative val="0"/>
          <c:cat>
            <c:strRef>
              <c:f>Sheet1!$AS$64:$AS$66</c:f>
              <c:strCache>
                <c:ptCount val="2"/>
                <c:pt idx="0">
                  <c:v>Male-headed</c:v>
                </c:pt>
                <c:pt idx="1">
                  <c:v>Female-headed</c:v>
                </c:pt>
              </c:strCache>
            </c:strRef>
          </c:cat>
          <c:val>
            <c:numRef>
              <c:f>Sheet1!$BA$64:$BA$66</c:f>
              <c:numCache>
                <c:formatCode>General</c:formatCode>
                <c:ptCount val="2"/>
                <c:pt idx="0">
                  <c:v>413</c:v>
                </c:pt>
                <c:pt idx="1">
                  <c:v>40</c:v>
                </c:pt>
              </c:numCache>
            </c:numRef>
          </c:val>
        </c:ser>
        <c:ser>
          <c:idx val="8"/>
          <c:order val="8"/>
          <c:tx>
            <c:strRef>
              <c:f>Sheet1!$BB$62:$BB$63</c:f>
              <c:strCache>
                <c:ptCount val="1"/>
                <c:pt idx="0">
                  <c:v>2001-3000</c:v>
                </c:pt>
              </c:strCache>
            </c:strRef>
          </c:tx>
          <c:spPr>
            <a:solidFill>
              <a:schemeClr val="accent3">
                <a:shade val="65000"/>
              </a:schemeClr>
            </a:solidFill>
            <a:ln>
              <a:noFill/>
            </a:ln>
            <a:effectLst/>
          </c:spPr>
          <c:invertIfNegative val="0"/>
          <c:cat>
            <c:strRef>
              <c:f>Sheet1!$AS$64:$AS$66</c:f>
              <c:strCache>
                <c:ptCount val="2"/>
                <c:pt idx="0">
                  <c:v>Male-headed</c:v>
                </c:pt>
                <c:pt idx="1">
                  <c:v>Female-headed</c:v>
                </c:pt>
              </c:strCache>
            </c:strRef>
          </c:cat>
          <c:val>
            <c:numRef>
              <c:f>Sheet1!$BB$64:$BB$66</c:f>
              <c:numCache>
                <c:formatCode>General</c:formatCode>
                <c:ptCount val="2"/>
                <c:pt idx="0">
                  <c:v>269</c:v>
                </c:pt>
                <c:pt idx="1">
                  <c:v>15</c:v>
                </c:pt>
              </c:numCache>
            </c:numRef>
          </c:val>
        </c:ser>
        <c:ser>
          <c:idx val="9"/>
          <c:order val="9"/>
          <c:tx>
            <c:strRef>
              <c:f>Sheet1!$BC$62:$BC$63</c:f>
              <c:strCache>
                <c:ptCount val="1"/>
                <c:pt idx="0">
                  <c:v>3001-5000</c:v>
                </c:pt>
              </c:strCache>
            </c:strRef>
          </c:tx>
          <c:spPr>
            <a:solidFill>
              <a:schemeClr val="accent3">
                <a:shade val="53000"/>
              </a:schemeClr>
            </a:solidFill>
            <a:ln>
              <a:noFill/>
            </a:ln>
            <a:effectLst/>
          </c:spPr>
          <c:invertIfNegative val="0"/>
          <c:cat>
            <c:strRef>
              <c:f>Sheet1!$AS$64:$AS$66</c:f>
              <c:strCache>
                <c:ptCount val="2"/>
                <c:pt idx="0">
                  <c:v>Male-headed</c:v>
                </c:pt>
                <c:pt idx="1">
                  <c:v>Female-headed</c:v>
                </c:pt>
              </c:strCache>
            </c:strRef>
          </c:cat>
          <c:val>
            <c:numRef>
              <c:f>Sheet1!$BC$64:$BC$66</c:f>
              <c:numCache>
                <c:formatCode>General</c:formatCode>
                <c:ptCount val="2"/>
                <c:pt idx="0">
                  <c:v>101</c:v>
                </c:pt>
                <c:pt idx="1">
                  <c:v>4</c:v>
                </c:pt>
              </c:numCache>
            </c:numRef>
          </c:val>
        </c:ser>
        <c:ser>
          <c:idx val="10"/>
          <c:order val="10"/>
          <c:tx>
            <c:strRef>
              <c:f>Sheet1!$BD$62:$BD$63</c:f>
              <c:strCache>
                <c:ptCount val="1"/>
                <c:pt idx="0">
                  <c:v>5000+</c:v>
                </c:pt>
              </c:strCache>
            </c:strRef>
          </c:tx>
          <c:spPr>
            <a:solidFill>
              <a:schemeClr val="accent3">
                <a:shade val="41000"/>
              </a:schemeClr>
            </a:solidFill>
            <a:ln>
              <a:noFill/>
            </a:ln>
            <a:effectLst/>
          </c:spPr>
          <c:invertIfNegative val="0"/>
          <c:cat>
            <c:strRef>
              <c:f>Sheet1!$AS$64:$AS$66</c:f>
              <c:strCache>
                <c:ptCount val="2"/>
                <c:pt idx="0">
                  <c:v>Male-headed</c:v>
                </c:pt>
                <c:pt idx="1">
                  <c:v>Female-headed</c:v>
                </c:pt>
              </c:strCache>
            </c:strRef>
          </c:cat>
          <c:val>
            <c:numRef>
              <c:f>Sheet1!$BD$64:$BD$66</c:f>
              <c:numCache>
                <c:formatCode>General</c:formatCode>
                <c:ptCount val="2"/>
                <c:pt idx="0">
                  <c:v>61</c:v>
                </c:pt>
                <c:pt idx="1">
                  <c:v>8</c:v>
                </c:pt>
              </c:numCache>
            </c:numRef>
          </c:val>
        </c:ser>
        <c:dLbls>
          <c:showLegendKey val="0"/>
          <c:showVal val="0"/>
          <c:showCatName val="0"/>
          <c:showSerName val="0"/>
          <c:showPercent val="0"/>
          <c:showBubbleSize val="0"/>
        </c:dLbls>
        <c:gapWidth val="150"/>
        <c:overlap val="100"/>
        <c:axId val="528665208"/>
        <c:axId val="528665600"/>
      </c:barChart>
      <c:catAx>
        <c:axId val="528665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665600"/>
        <c:crosses val="autoZero"/>
        <c:auto val="1"/>
        <c:lblAlgn val="ctr"/>
        <c:lblOffset val="100"/>
        <c:noMultiLvlLbl val="0"/>
      </c:catAx>
      <c:valAx>
        <c:axId val="5286656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665208"/>
        <c:crosses val="autoZero"/>
        <c:crossBetween val="between"/>
      </c:valAx>
      <c:spPr>
        <a:noFill/>
        <a:ln>
          <a:noFill/>
        </a:ln>
        <a:effectLst/>
      </c:spPr>
    </c:plotArea>
    <c:legend>
      <c:legendPos val="r"/>
      <c:layout>
        <c:manualLayout>
          <c:xMode val="edge"/>
          <c:yMode val="edge"/>
          <c:x val="0.84131048659567964"/>
          <c:y val="0"/>
          <c:w val="0.15374687920107546"/>
          <c:h val="1"/>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pivotSource>
    <c:name>[Gaza WASH Assessment_raw data_GVC_edited.xlsx]Sheet1!PivotTable14</c:name>
    <c:fmtId val="-1"/>
  </c:pivotSource>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Domestic Water</a:t>
            </a:r>
            <a:r>
              <a:rPr lang="en-US" sz="1100" baseline="0"/>
              <a:t> Tank Volume by HH Type</a:t>
            </a:r>
            <a:endParaRPr lang="en-US" sz="1100"/>
          </a:p>
        </c:rich>
      </c:tx>
      <c:layout>
        <c:manualLayout>
          <c:xMode val="edge"/>
          <c:yMode val="edge"/>
          <c:x val="0.12036398617593615"/>
          <c:y val="9.1232781948768025E-3"/>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3"/>
          </a:solidFill>
          <a:ln>
            <a:noFill/>
          </a:ln>
          <a:effectLst/>
        </c:spPr>
        <c:marker>
          <c:symbol val="none"/>
        </c:marker>
      </c:pivotFmt>
      <c:pivotFmt>
        <c:idx val="1"/>
        <c:spPr>
          <a:solidFill>
            <a:schemeClr val="accent3"/>
          </a:solidFill>
          <a:ln>
            <a:noFill/>
          </a:ln>
          <a:effectLst/>
        </c:spPr>
        <c:marker>
          <c:symbol val="none"/>
        </c:marker>
      </c:pivotFmt>
      <c:pivotFmt>
        <c:idx val="2"/>
        <c:spPr>
          <a:solidFill>
            <a:schemeClr val="accent3"/>
          </a:solidFill>
          <a:ln>
            <a:noFill/>
          </a:ln>
          <a:effectLst/>
        </c:spPr>
        <c:marker>
          <c:symbol val="none"/>
        </c:marker>
      </c:pivotFmt>
      <c:pivotFmt>
        <c:idx val="3"/>
        <c:spPr>
          <a:solidFill>
            <a:schemeClr val="accent3"/>
          </a:solidFill>
          <a:ln>
            <a:noFill/>
          </a:ln>
          <a:effectLst/>
        </c:spPr>
        <c:marker>
          <c:symbol val="none"/>
        </c:marker>
      </c:pivotFmt>
      <c:pivotFmt>
        <c:idx val="4"/>
        <c:spPr>
          <a:solidFill>
            <a:schemeClr val="accent3"/>
          </a:solidFill>
          <a:ln>
            <a:noFill/>
          </a:ln>
          <a:effectLst/>
        </c:spPr>
        <c:marker>
          <c:symbol val="none"/>
        </c:marker>
      </c:pivotFmt>
      <c:pivotFmt>
        <c:idx val="5"/>
        <c:spPr>
          <a:solidFill>
            <a:schemeClr val="accent3"/>
          </a:solidFill>
          <a:ln>
            <a:noFill/>
          </a:ln>
          <a:effectLst/>
        </c:spPr>
        <c:marker>
          <c:symbol val="none"/>
        </c:marker>
      </c:pivotFmt>
      <c:pivotFmt>
        <c:idx val="6"/>
        <c:spPr>
          <a:solidFill>
            <a:schemeClr val="accent3"/>
          </a:solidFill>
          <a:ln>
            <a:noFill/>
          </a:ln>
          <a:effectLst/>
        </c:spPr>
        <c:marker>
          <c:symbol val="none"/>
        </c:marker>
      </c:pivotFmt>
      <c:pivotFmt>
        <c:idx val="7"/>
        <c:spPr>
          <a:solidFill>
            <a:schemeClr val="accent3"/>
          </a:solidFill>
          <a:ln>
            <a:noFill/>
          </a:ln>
          <a:effectLst/>
        </c:spPr>
        <c:marker>
          <c:symbol val="none"/>
        </c:marker>
      </c:pivotFmt>
      <c:pivotFmt>
        <c:idx val="8"/>
        <c:spPr>
          <a:solidFill>
            <a:schemeClr val="accent3"/>
          </a:solidFill>
          <a:ln>
            <a:noFill/>
          </a:ln>
          <a:effectLst/>
        </c:spPr>
        <c:marker>
          <c:symbol val="none"/>
        </c:marker>
      </c:pivotFmt>
      <c:pivotFmt>
        <c:idx val="9"/>
        <c:spPr>
          <a:solidFill>
            <a:schemeClr val="accent3"/>
          </a:solidFill>
          <a:ln>
            <a:noFill/>
          </a:ln>
          <a:effectLst/>
        </c:spPr>
        <c:marker>
          <c:symbol val="none"/>
        </c:marker>
      </c:pivotFmt>
      <c:pivotFmt>
        <c:idx val="10"/>
        <c:spPr>
          <a:solidFill>
            <a:schemeClr val="accent3"/>
          </a:solidFill>
          <a:ln>
            <a:noFill/>
          </a:ln>
          <a:effectLst/>
        </c:spPr>
        <c:marker>
          <c:symbol val="none"/>
        </c:marker>
      </c:pivotFmt>
      <c:pivotFmt>
        <c:idx val="11"/>
        <c:spPr>
          <a:solidFill>
            <a:schemeClr val="accent3"/>
          </a:solidFill>
          <a:ln>
            <a:noFill/>
          </a:ln>
          <a:effectLst/>
        </c:spPr>
        <c:marker>
          <c:symbol val="none"/>
        </c:marker>
      </c:pivotFmt>
      <c:pivotFmt>
        <c:idx val="12"/>
        <c:spPr>
          <a:solidFill>
            <a:schemeClr val="accent3"/>
          </a:solidFill>
          <a:ln>
            <a:noFill/>
          </a:ln>
          <a:effectLst/>
        </c:spPr>
        <c:marker>
          <c:symbol val="none"/>
        </c:marker>
      </c:pivotFmt>
      <c:pivotFmt>
        <c:idx val="13"/>
        <c:spPr>
          <a:solidFill>
            <a:schemeClr val="accent3"/>
          </a:solidFill>
          <a:ln>
            <a:noFill/>
          </a:ln>
          <a:effectLst/>
        </c:spPr>
        <c:marker>
          <c:symbol val="none"/>
        </c:marker>
      </c:pivotFmt>
      <c:pivotFmt>
        <c:idx val="14"/>
        <c:spPr>
          <a:solidFill>
            <a:schemeClr val="accent3"/>
          </a:solidFill>
          <a:ln>
            <a:noFill/>
          </a:ln>
          <a:effectLst/>
        </c:spPr>
        <c:marker>
          <c:symbol val="none"/>
        </c:marker>
      </c:pivotFmt>
      <c:pivotFmt>
        <c:idx val="15"/>
        <c:spPr>
          <a:solidFill>
            <a:schemeClr val="accent3"/>
          </a:solidFill>
          <a:ln>
            <a:noFill/>
          </a:ln>
          <a:effectLst/>
        </c:spPr>
        <c:marker>
          <c:symbol val="none"/>
        </c:marker>
      </c:pivotFmt>
      <c:pivotFmt>
        <c:idx val="16"/>
        <c:spPr>
          <a:solidFill>
            <a:schemeClr val="accent3"/>
          </a:solidFill>
          <a:ln>
            <a:noFill/>
          </a:ln>
          <a:effectLst/>
        </c:spPr>
        <c:marker>
          <c:symbol val="none"/>
        </c:marker>
      </c:pivotFmt>
      <c:pivotFmt>
        <c:idx val="17"/>
        <c:spPr>
          <a:solidFill>
            <a:schemeClr val="accent3"/>
          </a:solidFill>
          <a:ln>
            <a:noFill/>
          </a:ln>
          <a:effectLst/>
        </c:spPr>
        <c:marker>
          <c:symbol val="none"/>
        </c:marker>
      </c:pivotFmt>
      <c:pivotFmt>
        <c:idx val="18"/>
        <c:spPr>
          <a:solidFill>
            <a:schemeClr val="accent3"/>
          </a:solidFill>
          <a:ln>
            <a:noFill/>
          </a:ln>
          <a:effectLst/>
        </c:spPr>
        <c:marker>
          <c:symbol val="none"/>
        </c:marker>
      </c:pivotFmt>
      <c:pivotFmt>
        <c:idx val="19"/>
        <c:spPr>
          <a:solidFill>
            <a:schemeClr val="accent3"/>
          </a:solidFill>
          <a:ln>
            <a:noFill/>
          </a:ln>
          <a:effectLst/>
        </c:spPr>
        <c:marker>
          <c:symbol val="none"/>
        </c:marker>
      </c:pivotFmt>
      <c:pivotFmt>
        <c:idx val="20"/>
        <c:spPr>
          <a:solidFill>
            <a:schemeClr val="accent3"/>
          </a:solidFill>
          <a:ln>
            <a:noFill/>
          </a:ln>
          <a:effectLst/>
        </c:spPr>
        <c:marker>
          <c:symbol val="none"/>
        </c:marker>
      </c:pivotFmt>
      <c:pivotFmt>
        <c:idx val="21"/>
        <c:spPr>
          <a:solidFill>
            <a:schemeClr val="accent3"/>
          </a:solidFill>
          <a:ln>
            <a:noFill/>
          </a:ln>
          <a:effectLst/>
        </c:spPr>
        <c:marker>
          <c:symbol val="none"/>
        </c:marker>
      </c:pivotFmt>
      <c:pivotFmt>
        <c:idx val="22"/>
        <c:spPr>
          <a:solidFill>
            <a:schemeClr val="accent3"/>
          </a:solidFill>
          <a:ln>
            <a:noFill/>
          </a:ln>
          <a:effectLst/>
        </c:spPr>
        <c:marker>
          <c:symbol val="none"/>
        </c:marker>
      </c:pivotFmt>
      <c:pivotFmt>
        <c:idx val="23"/>
        <c:spPr>
          <a:solidFill>
            <a:schemeClr val="accent3"/>
          </a:solidFill>
          <a:ln>
            <a:noFill/>
          </a:ln>
          <a:effectLst/>
        </c:spPr>
        <c:marker>
          <c:symbol val="none"/>
        </c:marker>
      </c:pivotFmt>
      <c:pivotFmt>
        <c:idx val="24"/>
        <c:spPr>
          <a:solidFill>
            <a:schemeClr val="accent3"/>
          </a:solidFill>
          <a:ln>
            <a:noFill/>
          </a:ln>
          <a:effectLst/>
        </c:spPr>
        <c:marker>
          <c:symbol val="none"/>
        </c:marker>
      </c:pivotFmt>
      <c:pivotFmt>
        <c:idx val="25"/>
        <c:spPr>
          <a:solidFill>
            <a:schemeClr val="accent3"/>
          </a:solidFill>
          <a:ln>
            <a:noFill/>
          </a:ln>
          <a:effectLst/>
        </c:spPr>
        <c:marker>
          <c:symbol val="none"/>
        </c:marker>
      </c:pivotFmt>
      <c:pivotFmt>
        <c:idx val="26"/>
        <c:spPr>
          <a:solidFill>
            <a:schemeClr val="accent3"/>
          </a:solidFill>
          <a:ln>
            <a:noFill/>
          </a:ln>
          <a:effectLst/>
        </c:spPr>
        <c:marker>
          <c:symbol val="none"/>
        </c:marker>
      </c:pivotFmt>
      <c:pivotFmt>
        <c:idx val="27"/>
        <c:spPr>
          <a:solidFill>
            <a:schemeClr val="accent3"/>
          </a:solidFill>
          <a:ln>
            <a:noFill/>
          </a:ln>
          <a:effectLst/>
        </c:spPr>
        <c:marker>
          <c:symbol val="none"/>
        </c:marker>
      </c:pivotFmt>
      <c:pivotFmt>
        <c:idx val="28"/>
        <c:spPr>
          <a:solidFill>
            <a:schemeClr val="accent3"/>
          </a:solidFill>
          <a:ln>
            <a:noFill/>
          </a:ln>
          <a:effectLst/>
        </c:spPr>
        <c:marker>
          <c:symbol val="none"/>
        </c:marker>
      </c:pivotFmt>
      <c:pivotFmt>
        <c:idx val="29"/>
        <c:spPr>
          <a:solidFill>
            <a:schemeClr val="accent3"/>
          </a:solidFill>
          <a:ln>
            <a:noFill/>
          </a:ln>
          <a:effectLst/>
        </c:spPr>
        <c:marker>
          <c:symbol val="none"/>
        </c:marker>
      </c:pivotFmt>
      <c:pivotFmt>
        <c:idx val="30"/>
        <c:spPr>
          <a:solidFill>
            <a:schemeClr val="accent3"/>
          </a:solidFill>
          <a:ln>
            <a:noFill/>
          </a:ln>
          <a:effectLst/>
        </c:spPr>
        <c:marker>
          <c:symbol val="none"/>
        </c:marker>
      </c:pivotFmt>
      <c:pivotFmt>
        <c:idx val="31"/>
        <c:spPr>
          <a:solidFill>
            <a:schemeClr val="accent3"/>
          </a:solidFill>
          <a:ln>
            <a:noFill/>
          </a:ln>
          <a:effectLst/>
        </c:spPr>
        <c:marker>
          <c:symbol val="none"/>
        </c:marker>
      </c:pivotFmt>
      <c:pivotFmt>
        <c:idx val="32"/>
        <c:spPr>
          <a:solidFill>
            <a:schemeClr val="accent3"/>
          </a:solidFill>
          <a:ln>
            <a:noFill/>
          </a:ln>
          <a:effectLst/>
        </c:spPr>
        <c:marker>
          <c:symbol val="none"/>
        </c:marker>
      </c:pivotFmt>
    </c:pivotFmts>
    <c:plotArea>
      <c:layout>
        <c:manualLayout>
          <c:layoutTarget val="inner"/>
          <c:xMode val="edge"/>
          <c:yMode val="edge"/>
          <c:x val="0.19028958259650167"/>
          <c:y val="0.18197392923649908"/>
          <c:w val="0.60231731214593665"/>
          <c:h val="0.64522705611519227"/>
        </c:manualLayout>
      </c:layout>
      <c:barChart>
        <c:barDir val="bar"/>
        <c:grouping val="percentStacked"/>
        <c:varyColors val="0"/>
        <c:ser>
          <c:idx val="0"/>
          <c:order val="0"/>
          <c:tx>
            <c:strRef>
              <c:f>Sheet1!$Q$62:$Q$63</c:f>
              <c:strCache>
                <c:ptCount val="1"/>
                <c:pt idx="0">
                  <c:v>0</c:v>
                </c:pt>
              </c:strCache>
            </c:strRef>
          </c:tx>
          <c:spPr>
            <a:solidFill>
              <a:schemeClr val="accent6">
                <a:lumMod val="75000"/>
              </a:schemeClr>
            </a:solidFill>
            <a:ln>
              <a:noFill/>
            </a:ln>
            <a:effectLst/>
          </c:spPr>
          <c:invertIfNegative val="0"/>
          <c:cat>
            <c:strRef>
              <c:f>Sheet1!$P$64:$P$68</c:f>
              <c:strCache>
                <c:ptCount val="4"/>
                <c:pt idx="0">
                  <c:v>Unaffected</c:v>
                </c:pt>
                <c:pt idx="1">
                  <c:v>IDP</c:v>
                </c:pt>
                <c:pt idx="2">
                  <c:v>War-affected</c:v>
                </c:pt>
                <c:pt idx="3">
                  <c:v>WASH affected</c:v>
                </c:pt>
              </c:strCache>
            </c:strRef>
          </c:cat>
          <c:val>
            <c:numRef>
              <c:f>Sheet1!$Q$64:$Q$68</c:f>
              <c:numCache>
                <c:formatCode>General</c:formatCode>
                <c:ptCount val="4"/>
                <c:pt idx="0">
                  <c:v>1</c:v>
                </c:pt>
                <c:pt idx="1">
                  <c:v>3</c:v>
                </c:pt>
                <c:pt idx="2">
                  <c:v>4</c:v>
                </c:pt>
                <c:pt idx="3">
                  <c:v>8</c:v>
                </c:pt>
              </c:numCache>
            </c:numRef>
          </c:val>
        </c:ser>
        <c:ser>
          <c:idx val="1"/>
          <c:order val="1"/>
          <c:tx>
            <c:strRef>
              <c:f>Sheet1!$R$62:$R$63</c:f>
              <c:strCache>
                <c:ptCount val="1"/>
                <c:pt idx="0">
                  <c:v>1-200</c:v>
                </c:pt>
              </c:strCache>
            </c:strRef>
          </c:tx>
          <c:spPr>
            <a:solidFill>
              <a:schemeClr val="accent3">
                <a:tint val="54000"/>
              </a:schemeClr>
            </a:solidFill>
            <a:ln>
              <a:noFill/>
            </a:ln>
            <a:effectLst/>
          </c:spPr>
          <c:invertIfNegative val="0"/>
          <c:cat>
            <c:strRef>
              <c:f>Sheet1!$P$64:$P$68</c:f>
              <c:strCache>
                <c:ptCount val="4"/>
                <c:pt idx="0">
                  <c:v>Unaffected</c:v>
                </c:pt>
                <c:pt idx="1">
                  <c:v>IDP</c:v>
                </c:pt>
                <c:pt idx="2">
                  <c:v>War-affected</c:v>
                </c:pt>
                <c:pt idx="3">
                  <c:v>WASH affected</c:v>
                </c:pt>
              </c:strCache>
            </c:strRef>
          </c:cat>
          <c:val>
            <c:numRef>
              <c:f>Sheet1!$R$64:$R$68</c:f>
              <c:numCache>
                <c:formatCode>General</c:formatCode>
                <c:ptCount val="4"/>
                <c:pt idx="0">
                  <c:v>2</c:v>
                </c:pt>
                <c:pt idx="1">
                  <c:v>6</c:v>
                </c:pt>
                <c:pt idx="2">
                  <c:v>10</c:v>
                </c:pt>
                <c:pt idx="3">
                  <c:v>16</c:v>
                </c:pt>
              </c:numCache>
            </c:numRef>
          </c:val>
        </c:ser>
        <c:ser>
          <c:idx val="2"/>
          <c:order val="2"/>
          <c:tx>
            <c:strRef>
              <c:f>Sheet1!$S$62:$S$63</c:f>
              <c:strCache>
                <c:ptCount val="1"/>
                <c:pt idx="0">
                  <c:v>201-400</c:v>
                </c:pt>
              </c:strCache>
            </c:strRef>
          </c:tx>
          <c:spPr>
            <a:solidFill>
              <a:schemeClr val="accent3">
                <a:tint val="65000"/>
              </a:schemeClr>
            </a:solidFill>
            <a:ln>
              <a:noFill/>
            </a:ln>
            <a:effectLst/>
          </c:spPr>
          <c:invertIfNegative val="0"/>
          <c:cat>
            <c:strRef>
              <c:f>Sheet1!$P$64:$P$68</c:f>
              <c:strCache>
                <c:ptCount val="4"/>
                <c:pt idx="0">
                  <c:v>Unaffected</c:v>
                </c:pt>
                <c:pt idx="1">
                  <c:v>IDP</c:v>
                </c:pt>
                <c:pt idx="2">
                  <c:v>War-affected</c:v>
                </c:pt>
                <c:pt idx="3">
                  <c:v>WASH affected</c:v>
                </c:pt>
              </c:strCache>
            </c:strRef>
          </c:cat>
          <c:val>
            <c:numRef>
              <c:f>Sheet1!$S$64:$S$68</c:f>
              <c:numCache>
                <c:formatCode>General</c:formatCode>
                <c:ptCount val="4"/>
                <c:pt idx="0">
                  <c:v>7</c:v>
                </c:pt>
                <c:pt idx="1">
                  <c:v>8</c:v>
                </c:pt>
                <c:pt idx="2">
                  <c:v>6</c:v>
                </c:pt>
                <c:pt idx="3">
                  <c:v>14</c:v>
                </c:pt>
              </c:numCache>
            </c:numRef>
          </c:val>
        </c:ser>
        <c:ser>
          <c:idx val="3"/>
          <c:order val="3"/>
          <c:tx>
            <c:strRef>
              <c:f>Sheet1!$T$62:$T$63</c:f>
              <c:strCache>
                <c:ptCount val="1"/>
                <c:pt idx="0">
                  <c:v>401-600</c:v>
                </c:pt>
              </c:strCache>
            </c:strRef>
          </c:tx>
          <c:spPr>
            <a:solidFill>
              <a:schemeClr val="accent3">
                <a:tint val="77000"/>
              </a:schemeClr>
            </a:solidFill>
            <a:ln>
              <a:noFill/>
            </a:ln>
            <a:effectLst/>
          </c:spPr>
          <c:invertIfNegative val="0"/>
          <c:cat>
            <c:strRef>
              <c:f>Sheet1!$P$64:$P$68</c:f>
              <c:strCache>
                <c:ptCount val="4"/>
                <c:pt idx="0">
                  <c:v>Unaffected</c:v>
                </c:pt>
                <c:pt idx="1">
                  <c:v>IDP</c:v>
                </c:pt>
                <c:pt idx="2">
                  <c:v>War-affected</c:v>
                </c:pt>
                <c:pt idx="3">
                  <c:v>WASH affected</c:v>
                </c:pt>
              </c:strCache>
            </c:strRef>
          </c:cat>
          <c:val>
            <c:numRef>
              <c:f>Sheet1!$T$64:$T$68</c:f>
              <c:numCache>
                <c:formatCode>General</c:formatCode>
                <c:ptCount val="4"/>
                <c:pt idx="0">
                  <c:v>45</c:v>
                </c:pt>
                <c:pt idx="1">
                  <c:v>68</c:v>
                </c:pt>
                <c:pt idx="2">
                  <c:v>124</c:v>
                </c:pt>
                <c:pt idx="3">
                  <c:v>149</c:v>
                </c:pt>
              </c:numCache>
            </c:numRef>
          </c:val>
        </c:ser>
        <c:ser>
          <c:idx val="4"/>
          <c:order val="4"/>
          <c:tx>
            <c:strRef>
              <c:f>Sheet1!$U$62:$U$63</c:f>
              <c:strCache>
                <c:ptCount val="1"/>
                <c:pt idx="0">
                  <c:v>601-800</c:v>
                </c:pt>
              </c:strCache>
            </c:strRef>
          </c:tx>
          <c:spPr>
            <a:solidFill>
              <a:schemeClr val="accent3">
                <a:tint val="89000"/>
              </a:schemeClr>
            </a:solidFill>
            <a:ln>
              <a:noFill/>
            </a:ln>
            <a:effectLst/>
          </c:spPr>
          <c:invertIfNegative val="0"/>
          <c:cat>
            <c:strRef>
              <c:f>Sheet1!$P$64:$P$68</c:f>
              <c:strCache>
                <c:ptCount val="4"/>
                <c:pt idx="0">
                  <c:v>Unaffected</c:v>
                </c:pt>
                <c:pt idx="1">
                  <c:v>IDP</c:v>
                </c:pt>
                <c:pt idx="2">
                  <c:v>War-affected</c:v>
                </c:pt>
                <c:pt idx="3">
                  <c:v>WASH affected</c:v>
                </c:pt>
              </c:strCache>
            </c:strRef>
          </c:cat>
          <c:val>
            <c:numRef>
              <c:f>Sheet1!$U$64:$U$68</c:f>
              <c:numCache>
                <c:formatCode>General</c:formatCode>
                <c:ptCount val="4"/>
                <c:pt idx="0">
                  <c:v>9</c:v>
                </c:pt>
                <c:pt idx="1">
                  <c:v>9</c:v>
                </c:pt>
                <c:pt idx="2">
                  <c:v>17</c:v>
                </c:pt>
                <c:pt idx="3">
                  <c:v>25</c:v>
                </c:pt>
              </c:numCache>
            </c:numRef>
          </c:val>
        </c:ser>
        <c:ser>
          <c:idx val="5"/>
          <c:order val="5"/>
          <c:tx>
            <c:strRef>
              <c:f>Sheet1!$V$62:$V$63</c:f>
              <c:strCache>
                <c:ptCount val="1"/>
                <c:pt idx="0">
                  <c:v>801-1000</c:v>
                </c:pt>
              </c:strCache>
            </c:strRef>
          </c:tx>
          <c:spPr>
            <a:solidFill>
              <a:schemeClr val="accent3"/>
            </a:solidFill>
            <a:ln>
              <a:noFill/>
            </a:ln>
            <a:effectLst/>
          </c:spPr>
          <c:invertIfNegative val="0"/>
          <c:cat>
            <c:strRef>
              <c:f>Sheet1!$P$64:$P$68</c:f>
              <c:strCache>
                <c:ptCount val="4"/>
                <c:pt idx="0">
                  <c:v>Unaffected</c:v>
                </c:pt>
                <c:pt idx="1">
                  <c:v>IDP</c:v>
                </c:pt>
                <c:pt idx="2">
                  <c:v>War-affected</c:v>
                </c:pt>
                <c:pt idx="3">
                  <c:v>WASH affected</c:v>
                </c:pt>
              </c:strCache>
            </c:strRef>
          </c:cat>
          <c:val>
            <c:numRef>
              <c:f>Sheet1!$V$64:$V$68</c:f>
              <c:numCache>
                <c:formatCode>General</c:formatCode>
                <c:ptCount val="4"/>
                <c:pt idx="0">
                  <c:v>169</c:v>
                </c:pt>
                <c:pt idx="1">
                  <c:v>257</c:v>
                </c:pt>
                <c:pt idx="2">
                  <c:v>296</c:v>
                </c:pt>
                <c:pt idx="3">
                  <c:v>244</c:v>
                </c:pt>
              </c:numCache>
            </c:numRef>
          </c:val>
        </c:ser>
        <c:ser>
          <c:idx val="6"/>
          <c:order val="6"/>
          <c:tx>
            <c:strRef>
              <c:f>Sheet1!$W$62:$W$63</c:f>
              <c:strCache>
                <c:ptCount val="1"/>
                <c:pt idx="0">
                  <c:v>1001-1500</c:v>
                </c:pt>
              </c:strCache>
            </c:strRef>
          </c:tx>
          <c:spPr>
            <a:solidFill>
              <a:schemeClr val="accent3">
                <a:shade val="88000"/>
              </a:schemeClr>
            </a:solidFill>
            <a:ln>
              <a:noFill/>
            </a:ln>
            <a:effectLst/>
          </c:spPr>
          <c:invertIfNegative val="0"/>
          <c:cat>
            <c:strRef>
              <c:f>Sheet1!$P$64:$P$68</c:f>
              <c:strCache>
                <c:ptCount val="4"/>
                <c:pt idx="0">
                  <c:v>Unaffected</c:v>
                </c:pt>
                <c:pt idx="1">
                  <c:v>IDP</c:v>
                </c:pt>
                <c:pt idx="2">
                  <c:v>War-affected</c:v>
                </c:pt>
                <c:pt idx="3">
                  <c:v>WASH affected</c:v>
                </c:pt>
              </c:strCache>
            </c:strRef>
          </c:cat>
          <c:val>
            <c:numRef>
              <c:f>Sheet1!$W$64:$W$68</c:f>
              <c:numCache>
                <c:formatCode>General</c:formatCode>
                <c:ptCount val="4"/>
                <c:pt idx="0">
                  <c:v>227</c:v>
                </c:pt>
                <c:pt idx="1">
                  <c:v>123</c:v>
                </c:pt>
                <c:pt idx="2">
                  <c:v>216</c:v>
                </c:pt>
                <c:pt idx="3">
                  <c:v>192</c:v>
                </c:pt>
              </c:numCache>
            </c:numRef>
          </c:val>
        </c:ser>
        <c:ser>
          <c:idx val="7"/>
          <c:order val="7"/>
          <c:tx>
            <c:strRef>
              <c:f>Sheet1!$X$62:$X$63</c:f>
              <c:strCache>
                <c:ptCount val="1"/>
                <c:pt idx="0">
                  <c:v>1501-2000</c:v>
                </c:pt>
              </c:strCache>
            </c:strRef>
          </c:tx>
          <c:spPr>
            <a:solidFill>
              <a:schemeClr val="accent3">
                <a:shade val="76000"/>
              </a:schemeClr>
            </a:solidFill>
            <a:ln>
              <a:noFill/>
            </a:ln>
            <a:effectLst/>
          </c:spPr>
          <c:invertIfNegative val="0"/>
          <c:cat>
            <c:strRef>
              <c:f>Sheet1!$P$64:$P$68</c:f>
              <c:strCache>
                <c:ptCount val="4"/>
                <c:pt idx="0">
                  <c:v>Unaffected</c:v>
                </c:pt>
                <c:pt idx="1">
                  <c:v>IDP</c:v>
                </c:pt>
                <c:pt idx="2">
                  <c:v>War-affected</c:v>
                </c:pt>
                <c:pt idx="3">
                  <c:v>WASH affected</c:v>
                </c:pt>
              </c:strCache>
            </c:strRef>
          </c:cat>
          <c:val>
            <c:numRef>
              <c:f>Sheet1!$X$64:$X$68</c:f>
              <c:numCache>
                <c:formatCode>General</c:formatCode>
                <c:ptCount val="4"/>
                <c:pt idx="0">
                  <c:v>149</c:v>
                </c:pt>
                <c:pt idx="1">
                  <c:v>63</c:v>
                </c:pt>
                <c:pt idx="2">
                  <c:v>143</c:v>
                </c:pt>
                <c:pt idx="3">
                  <c:v>98</c:v>
                </c:pt>
              </c:numCache>
            </c:numRef>
          </c:val>
        </c:ser>
        <c:ser>
          <c:idx val="8"/>
          <c:order val="8"/>
          <c:tx>
            <c:strRef>
              <c:f>Sheet1!$Y$62:$Y$63</c:f>
              <c:strCache>
                <c:ptCount val="1"/>
                <c:pt idx="0">
                  <c:v>2001-3000</c:v>
                </c:pt>
              </c:strCache>
            </c:strRef>
          </c:tx>
          <c:spPr>
            <a:solidFill>
              <a:schemeClr val="accent3">
                <a:shade val="65000"/>
              </a:schemeClr>
            </a:solidFill>
            <a:ln>
              <a:noFill/>
            </a:ln>
            <a:effectLst/>
          </c:spPr>
          <c:invertIfNegative val="0"/>
          <c:cat>
            <c:strRef>
              <c:f>Sheet1!$P$64:$P$68</c:f>
              <c:strCache>
                <c:ptCount val="4"/>
                <c:pt idx="0">
                  <c:v>Unaffected</c:v>
                </c:pt>
                <c:pt idx="1">
                  <c:v>IDP</c:v>
                </c:pt>
                <c:pt idx="2">
                  <c:v>War-affected</c:v>
                </c:pt>
                <c:pt idx="3">
                  <c:v>WASH affected</c:v>
                </c:pt>
              </c:strCache>
            </c:strRef>
          </c:cat>
          <c:val>
            <c:numRef>
              <c:f>Sheet1!$Y$64:$Y$68</c:f>
              <c:numCache>
                <c:formatCode>General</c:formatCode>
                <c:ptCount val="4"/>
                <c:pt idx="0">
                  <c:v>104</c:v>
                </c:pt>
                <c:pt idx="1">
                  <c:v>32</c:v>
                </c:pt>
                <c:pt idx="2">
                  <c:v>85</c:v>
                </c:pt>
                <c:pt idx="3">
                  <c:v>63</c:v>
                </c:pt>
              </c:numCache>
            </c:numRef>
          </c:val>
        </c:ser>
        <c:ser>
          <c:idx val="9"/>
          <c:order val="9"/>
          <c:tx>
            <c:strRef>
              <c:f>Sheet1!$Z$62:$Z$63</c:f>
              <c:strCache>
                <c:ptCount val="1"/>
                <c:pt idx="0">
                  <c:v>3001-5000</c:v>
                </c:pt>
              </c:strCache>
            </c:strRef>
          </c:tx>
          <c:spPr>
            <a:solidFill>
              <a:schemeClr val="accent3">
                <a:shade val="53000"/>
              </a:schemeClr>
            </a:solidFill>
            <a:ln>
              <a:noFill/>
            </a:ln>
            <a:effectLst/>
          </c:spPr>
          <c:invertIfNegative val="0"/>
          <c:cat>
            <c:strRef>
              <c:f>Sheet1!$P$64:$P$68</c:f>
              <c:strCache>
                <c:ptCount val="4"/>
                <c:pt idx="0">
                  <c:v>Unaffected</c:v>
                </c:pt>
                <c:pt idx="1">
                  <c:v>IDP</c:v>
                </c:pt>
                <c:pt idx="2">
                  <c:v>War-affected</c:v>
                </c:pt>
                <c:pt idx="3">
                  <c:v>WASH affected</c:v>
                </c:pt>
              </c:strCache>
            </c:strRef>
          </c:cat>
          <c:val>
            <c:numRef>
              <c:f>Sheet1!$Z$64:$Z$68</c:f>
              <c:numCache>
                <c:formatCode>General</c:formatCode>
                <c:ptCount val="4"/>
                <c:pt idx="0">
                  <c:v>45</c:v>
                </c:pt>
                <c:pt idx="1">
                  <c:v>12</c:v>
                </c:pt>
                <c:pt idx="2">
                  <c:v>34</c:v>
                </c:pt>
                <c:pt idx="3">
                  <c:v>14</c:v>
                </c:pt>
              </c:numCache>
            </c:numRef>
          </c:val>
        </c:ser>
        <c:ser>
          <c:idx val="10"/>
          <c:order val="10"/>
          <c:tx>
            <c:strRef>
              <c:f>Sheet1!$AA$62:$AA$63</c:f>
              <c:strCache>
                <c:ptCount val="1"/>
                <c:pt idx="0">
                  <c:v>5000+</c:v>
                </c:pt>
              </c:strCache>
            </c:strRef>
          </c:tx>
          <c:spPr>
            <a:solidFill>
              <a:schemeClr val="accent3">
                <a:shade val="41000"/>
              </a:schemeClr>
            </a:solidFill>
            <a:ln>
              <a:noFill/>
            </a:ln>
            <a:effectLst/>
          </c:spPr>
          <c:invertIfNegative val="0"/>
          <c:cat>
            <c:strRef>
              <c:f>Sheet1!$P$64:$P$68</c:f>
              <c:strCache>
                <c:ptCount val="4"/>
                <c:pt idx="0">
                  <c:v>Unaffected</c:v>
                </c:pt>
                <c:pt idx="1">
                  <c:v>IDP</c:v>
                </c:pt>
                <c:pt idx="2">
                  <c:v>War-affected</c:v>
                </c:pt>
                <c:pt idx="3">
                  <c:v>WASH affected</c:v>
                </c:pt>
              </c:strCache>
            </c:strRef>
          </c:cat>
          <c:val>
            <c:numRef>
              <c:f>Sheet1!$AA$64:$AA$68</c:f>
              <c:numCache>
                <c:formatCode>General</c:formatCode>
                <c:ptCount val="4"/>
                <c:pt idx="0">
                  <c:v>22</c:v>
                </c:pt>
                <c:pt idx="1">
                  <c:v>24</c:v>
                </c:pt>
                <c:pt idx="2">
                  <c:v>19</c:v>
                </c:pt>
                <c:pt idx="3">
                  <c:v>4</c:v>
                </c:pt>
              </c:numCache>
            </c:numRef>
          </c:val>
        </c:ser>
        <c:dLbls>
          <c:showLegendKey val="0"/>
          <c:showVal val="0"/>
          <c:showCatName val="0"/>
          <c:showSerName val="0"/>
          <c:showPercent val="0"/>
          <c:showBubbleSize val="0"/>
        </c:dLbls>
        <c:gapWidth val="50"/>
        <c:overlap val="100"/>
        <c:axId val="528666384"/>
        <c:axId val="528666776"/>
      </c:barChart>
      <c:catAx>
        <c:axId val="528666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28666776"/>
        <c:crosses val="autoZero"/>
        <c:auto val="1"/>
        <c:lblAlgn val="ctr"/>
        <c:lblOffset val="100"/>
        <c:noMultiLvlLbl val="0"/>
      </c:catAx>
      <c:valAx>
        <c:axId val="5286667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666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10.xml><?xml version="1.0" encoding="utf-8"?>
<cs:colorStyle xmlns:cs="http://schemas.microsoft.com/office/drawing/2012/chartStyle" xmlns:a="http://schemas.openxmlformats.org/drawingml/2006/main" meth="withinLinearReversed" id="23">
  <a:schemeClr val="accent3"/>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withinLinear" id="19">
  <a:schemeClr val="accent6"/>
</cs:colorStyle>
</file>

<file path=word/charts/colors17.xml><?xml version="1.0" encoding="utf-8"?>
<cs:colorStyle xmlns:cs="http://schemas.microsoft.com/office/drawing/2012/chartStyle" xmlns:a="http://schemas.openxmlformats.org/drawingml/2006/main" meth="withinLinearReversed" id="23">
  <a:schemeClr val="accent3"/>
</cs:colorStyle>
</file>

<file path=word/charts/colors18.xml><?xml version="1.0" encoding="utf-8"?>
<cs:colorStyle xmlns:cs="http://schemas.microsoft.com/office/drawing/2012/chartStyle" xmlns:a="http://schemas.openxmlformats.org/drawingml/2006/main" meth="withinLinearReversed" id="23">
  <a:schemeClr val="accent3"/>
</cs:colorStyle>
</file>

<file path=word/charts/colors19.xml><?xml version="1.0" encoding="utf-8"?>
<cs:colorStyle xmlns:cs="http://schemas.microsoft.com/office/drawing/2012/chartStyle" xmlns:a="http://schemas.openxmlformats.org/drawingml/2006/main" meth="withinLinearReversed" id="23">
  <a:schemeClr val="accent3"/>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colors20.xml><?xml version="1.0" encoding="utf-8"?>
<cs:colorStyle xmlns:cs="http://schemas.microsoft.com/office/drawing/2012/chartStyle" xmlns:a="http://schemas.openxmlformats.org/drawingml/2006/main" meth="withinLinearReversed" id="23">
  <a:schemeClr val="accent3"/>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withinLinear" id="19">
  <a:schemeClr val="accent6"/>
</cs:colorStyle>
</file>

<file path=word/charts/colors27.xml><?xml version="1.0" encoding="utf-8"?>
<cs:colorStyle xmlns:cs="http://schemas.microsoft.com/office/drawing/2012/chartStyle" xmlns:a="http://schemas.openxmlformats.org/drawingml/2006/main" meth="withinLinearReversed" id="26">
  <a:schemeClr val="accent6"/>
</cs:colorStyle>
</file>

<file path=word/charts/colors28.xml><?xml version="1.0" encoding="utf-8"?>
<cs:colorStyle xmlns:cs="http://schemas.microsoft.com/office/drawing/2012/chartStyle" xmlns:a="http://schemas.openxmlformats.org/drawingml/2006/main" meth="withinLinearReversed" id="26">
  <a:schemeClr val="accent6"/>
</cs:colorStyle>
</file>

<file path=word/charts/colors29.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withinLinear" id="19">
  <a:schemeClr val="accent6"/>
</cs:colorStyle>
</file>

<file path=word/charts/colors32.xml><?xml version="1.0" encoding="utf-8"?>
<cs:colorStyle xmlns:cs="http://schemas.microsoft.com/office/drawing/2012/chartStyle" xmlns:a="http://schemas.openxmlformats.org/drawingml/2006/main" meth="withinLinear" id="18">
  <a:schemeClr val="accent5"/>
</cs:colorStyle>
</file>

<file path=word/charts/colors33.xml><?xml version="1.0" encoding="utf-8"?>
<cs:colorStyle xmlns:cs="http://schemas.microsoft.com/office/drawing/2012/chartStyle" xmlns:a="http://schemas.openxmlformats.org/drawingml/2006/main" meth="withinLinear" id="18">
  <a:schemeClr val="accent5"/>
</cs:colorStyle>
</file>

<file path=word/charts/colors34.xml><?xml version="1.0" encoding="utf-8"?>
<cs:colorStyle xmlns:cs="http://schemas.microsoft.com/office/drawing/2012/chartStyle" xmlns:a="http://schemas.openxmlformats.org/drawingml/2006/main" meth="withinLinear" id="18">
  <a:schemeClr val="accent5"/>
</cs:colorStyle>
</file>

<file path=word/charts/colors35.xml><?xml version="1.0" encoding="utf-8"?>
<cs:colorStyle xmlns:cs="http://schemas.microsoft.com/office/drawing/2012/chartStyle" xmlns:a="http://schemas.openxmlformats.org/drawingml/2006/main" meth="withinLinear" id="18">
  <a:schemeClr val="accent5"/>
</cs:colorStyle>
</file>

<file path=word/charts/colors36.xml><?xml version="1.0" encoding="utf-8"?>
<cs:colorStyle xmlns:cs="http://schemas.microsoft.com/office/drawing/2012/chartStyle" xmlns:a="http://schemas.openxmlformats.org/drawingml/2006/main" meth="withinLinear" id="18">
  <a:schemeClr val="accent5"/>
</cs:colorStyle>
</file>

<file path=word/charts/colors37.xml><?xml version="1.0" encoding="utf-8"?>
<cs:colorStyle xmlns:cs="http://schemas.microsoft.com/office/drawing/2012/chartStyle" xmlns:a="http://schemas.openxmlformats.org/drawingml/2006/main" meth="withinLinear" id="19">
  <a:schemeClr val="accent6"/>
</cs:colorStyle>
</file>

<file path=word/charts/colors38.xml><?xml version="1.0" encoding="utf-8"?>
<cs:colorStyle xmlns:cs="http://schemas.microsoft.com/office/drawing/2012/chartStyle" xmlns:a="http://schemas.openxmlformats.org/drawingml/2006/main" meth="withinLinear" id="18">
  <a:schemeClr val="accent5"/>
</cs:colorStyle>
</file>

<file path=word/charts/colors39.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40.xml><?xml version="1.0" encoding="utf-8"?>
<cs:colorStyle xmlns:cs="http://schemas.microsoft.com/office/drawing/2012/chartStyle" xmlns:a="http://schemas.openxmlformats.org/drawingml/2006/main" meth="withinLinear" id="18">
  <a:schemeClr val="accent5"/>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withinLinear" id="18">
  <a:schemeClr val="accent5"/>
</cs:colorStyle>
</file>

<file path=word/charts/colors45.xml><?xml version="1.0" encoding="utf-8"?>
<cs:colorStyle xmlns:cs="http://schemas.microsoft.com/office/drawing/2012/chartStyle" xmlns:a="http://schemas.openxmlformats.org/drawingml/2006/main" meth="withinLinear" id="18">
  <a:schemeClr val="accent5"/>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withinLinear" id="18">
  <a:schemeClr val="accent5"/>
</cs:colorStyle>
</file>

<file path=word/charts/colors51.xml><?xml version="1.0" encoding="utf-8"?>
<cs:colorStyle xmlns:cs="http://schemas.microsoft.com/office/drawing/2012/chartStyle" xmlns:a="http://schemas.openxmlformats.org/drawingml/2006/main" meth="withinLinear" id="18">
  <a:schemeClr val="accent5"/>
</cs:colorStyle>
</file>

<file path=word/charts/colors52.xml><?xml version="1.0" encoding="utf-8"?>
<cs:colorStyle xmlns:cs="http://schemas.microsoft.com/office/drawing/2012/chartStyle" xmlns:a="http://schemas.openxmlformats.org/drawingml/2006/main" meth="withinLinear" id="19">
  <a:schemeClr val="accent6"/>
</cs:colorStyle>
</file>

<file path=word/charts/colors53.xml><?xml version="1.0" encoding="utf-8"?>
<cs:colorStyle xmlns:cs="http://schemas.microsoft.com/office/drawing/2012/chartStyle" xmlns:a="http://schemas.openxmlformats.org/drawingml/2006/main" meth="withinLinear" id="16">
  <a:schemeClr val="accent3"/>
</cs:colorStyle>
</file>

<file path=word/charts/colors54.xml><?xml version="1.0" encoding="utf-8"?>
<cs:colorStyle xmlns:cs="http://schemas.microsoft.com/office/drawing/2012/chartStyle" xmlns:a="http://schemas.openxmlformats.org/drawingml/2006/main" meth="withinLinearReversed" id="26">
  <a:schemeClr val="accent6"/>
</cs:colorStyle>
</file>

<file path=word/charts/colors55.xml><?xml version="1.0" encoding="utf-8"?>
<cs:colorStyle xmlns:cs="http://schemas.microsoft.com/office/drawing/2012/chartStyle" xmlns:a="http://schemas.openxmlformats.org/drawingml/2006/main" meth="withinLinear" id="19">
  <a:schemeClr val="accent6"/>
</cs:colorStyle>
</file>

<file path=word/charts/colors56.xml><?xml version="1.0" encoding="utf-8"?>
<cs:colorStyle xmlns:cs="http://schemas.microsoft.com/office/drawing/2012/chartStyle" xmlns:a="http://schemas.openxmlformats.org/drawingml/2006/main" meth="withinLinear" id="19">
  <a:schemeClr val="accent6"/>
</cs:colorStyle>
</file>

<file path=word/charts/colors57.xml><?xml version="1.0" encoding="utf-8"?>
<cs:colorStyle xmlns:cs="http://schemas.microsoft.com/office/drawing/2012/chartStyle" xmlns:a="http://schemas.openxmlformats.org/drawingml/2006/main" meth="withinLinear" id="19">
  <a:schemeClr val="accent6"/>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withinLinear" id="18">
  <a:schemeClr val="accent5"/>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withinLinear" id="18">
  <a:schemeClr val="accent5"/>
</cs:colorStyle>
</file>

<file path=word/charts/colors61.xml><?xml version="1.0" encoding="utf-8"?>
<cs:colorStyle xmlns:cs="http://schemas.microsoft.com/office/drawing/2012/chartStyle" xmlns:a="http://schemas.openxmlformats.org/drawingml/2006/main" meth="withinLinear" id="18">
  <a:schemeClr val="accent5"/>
</cs:colorStyle>
</file>

<file path=word/charts/colors62.xml><?xml version="1.0" encoding="utf-8"?>
<cs:colorStyle xmlns:cs="http://schemas.microsoft.com/office/drawing/2012/chartStyle" xmlns:a="http://schemas.openxmlformats.org/drawingml/2006/main" meth="withinLinear" id="19">
  <a:schemeClr val="accent6"/>
</cs:colorStyle>
</file>

<file path=word/charts/colors63.xml><?xml version="1.0" encoding="utf-8"?>
<cs:colorStyle xmlns:cs="http://schemas.microsoft.com/office/drawing/2012/chartStyle" xmlns:a="http://schemas.openxmlformats.org/drawingml/2006/main" meth="withinLinear" id="19">
  <a:schemeClr val="accent6"/>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Reversed" id="23">
  <a:schemeClr val="accent3"/>
</cs:colorStyle>
</file>

<file path=word/charts/colors9.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WC.final">
      <a:dk1>
        <a:sysClr val="windowText" lastClr="000000"/>
      </a:dk1>
      <a:lt1>
        <a:sysClr val="window" lastClr="FFFFFF"/>
      </a:lt1>
      <a:dk2>
        <a:srgbClr val="1F497D"/>
      </a:dk2>
      <a:lt2>
        <a:srgbClr val="EEECE1"/>
      </a:lt2>
      <a:accent1>
        <a:srgbClr val="006462"/>
      </a:accent1>
      <a:accent2>
        <a:srgbClr val="272D2D"/>
      </a:accent2>
      <a:accent3>
        <a:srgbClr val="117DBF"/>
      </a:accent3>
      <a:accent4>
        <a:srgbClr val="B5AC7D"/>
      </a:accent4>
      <a:accent5>
        <a:srgbClr val="37A76F"/>
      </a:accent5>
      <a:accent6>
        <a:srgbClr val="EE585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2014-03-25T00:00:00</PublishDate>
  <Abstract>Project: Consolidation of the WASH Sector/Cluster assessment and information management procedures during preparedness, response and transition phases and development of a capacity building strategy for the Global WASH Cluster partners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263A2D-D413-4380-8155-D657B02E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28</Pages>
  <Words>5431</Words>
  <Characters>30958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INSERT NAME OF DOCUMENT</vt:lpstr>
    </vt:vector>
  </TitlesOfParts>
  <Company>Global WASH Cluster</Company>
  <LinksUpToDate>false</LinksUpToDate>
  <CharactersWithSpaces>36317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DOCUMENT</dc:title>
  <dc:subject>T OF PROJECT</dc:subject>
  <dc:creator>Rose Marie Guevremont</dc:creator>
  <cp:keywords/>
  <cp:lastModifiedBy>David Alford</cp:lastModifiedBy>
  <cp:revision>2</cp:revision>
  <cp:lastPrinted>2015-12-04T11:25:00Z</cp:lastPrinted>
  <dcterms:created xsi:type="dcterms:W3CDTF">2016-10-28T06:16:00Z</dcterms:created>
  <dcterms:modified xsi:type="dcterms:W3CDTF">2016-10-28T06:16:00Z</dcterms:modified>
</cp:coreProperties>
</file>