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2244" w14:textId="1EAEC2D9" w:rsidR="006D7CCD" w:rsidRPr="00407EC0" w:rsidRDefault="006D7CCD" w:rsidP="006D7CCD">
      <w:pPr>
        <w:jc w:val="center"/>
        <w:rPr>
          <w:sz w:val="28"/>
          <w:szCs w:val="28"/>
          <w:u w:val="single"/>
        </w:rPr>
      </w:pPr>
      <w:r w:rsidRPr="00407EC0">
        <w:rPr>
          <w:sz w:val="28"/>
          <w:szCs w:val="28"/>
          <w:u w:val="single"/>
        </w:rPr>
        <w:t xml:space="preserve">Preparing </w:t>
      </w:r>
      <w:r w:rsidR="00FE41DA">
        <w:rPr>
          <w:sz w:val="28"/>
          <w:szCs w:val="28"/>
          <w:u w:val="single"/>
        </w:rPr>
        <w:t>for Market-based Programming in WASH in emergencies</w:t>
      </w:r>
    </w:p>
    <w:p w14:paraId="59D71000" w14:textId="1C1F427F" w:rsidR="00923F38" w:rsidRDefault="00923F38">
      <w:r>
        <w:t>WASH programming is expected to be market sensitive</w:t>
      </w:r>
      <w:r w:rsidR="00E21346">
        <w:t xml:space="preserve"> at all times</w:t>
      </w:r>
      <w:r>
        <w:t xml:space="preserve">, and market-based whenever feasible. To ensure this, market assessment and analysis are essential steps. </w:t>
      </w:r>
    </w:p>
    <w:p w14:paraId="112B9556" w14:textId="17E45651" w:rsidR="00182358" w:rsidRDefault="00923F38">
      <w:r>
        <w:t>Direct assistance (in-kind goods and service provision) and market-based programming (cash, vouchers, market support)</w:t>
      </w:r>
      <w:r w:rsidR="00DD4E94">
        <w:t xml:space="preserve"> are programme delivery modalities that</w:t>
      </w:r>
      <w:r w:rsidR="00182358">
        <w:t xml:space="preserve"> need to be given equal consideration when planning and designing emergency preparedness measures. Current preparedness measures are still focused to a large extent on delivering </w:t>
      </w:r>
      <w:r>
        <w:t>direct assistance</w:t>
      </w:r>
      <w:r w:rsidR="00182358">
        <w:t xml:space="preserve">. </w:t>
      </w:r>
      <w:r>
        <w:t>Market-based programming (MBP)</w:t>
      </w:r>
      <w:r w:rsidR="00182358">
        <w:t xml:space="preserve"> require specific preparedness measures</w:t>
      </w:r>
      <w:r w:rsidR="002C235C">
        <w:t>, as summarized below</w:t>
      </w:r>
      <w:r w:rsidR="00182358">
        <w:t>.</w:t>
      </w:r>
      <w:r w:rsidR="002C235C">
        <w:t xml:space="preserve"> </w:t>
      </w:r>
    </w:p>
    <w:p w14:paraId="033AA81A" w14:textId="4AA0E8F9" w:rsidR="00006001" w:rsidRPr="00F216FA" w:rsidRDefault="000575AC" w:rsidP="000575AC">
      <w:pPr>
        <w:pStyle w:val="ListParagraph"/>
        <w:numPr>
          <w:ilvl w:val="0"/>
          <w:numId w:val="1"/>
        </w:numPr>
        <w:rPr>
          <w:b/>
          <w:bCs/>
        </w:rPr>
      </w:pPr>
      <w:r w:rsidRPr="00F216FA">
        <w:rPr>
          <w:b/>
          <w:bCs/>
        </w:rPr>
        <w:t>Assess</w:t>
      </w:r>
      <w:r w:rsidR="005364C7">
        <w:rPr>
          <w:b/>
          <w:bCs/>
        </w:rPr>
        <w:t xml:space="preserve"> </w:t>
      </w:r>
      <w:r w:rsidR="00896A8A">
        <w:rPr>
          <w:b/>
          <w:bCs/>
        </w:rPr>
        <w:t>relevant markets</w:t>
      </w:r>
      <w:r w:rsidR="005364C7">
        <w:rPr>
          <w:b/>
          <w:bCs/>
        </w:rPr>
        <w:t xml:space="preserve"> and</w:t>
      </w:r>
      <w:r w:rsidR="00DB6879">
        <w:rPr>
          <w:b/>
          <w:bCs/>
        </w:rPr>
        <w:t xml:space="preserve"> cash and voucher assistance</w:t>
      </w:r>
      <w:r w:rsidRPr="00F216FA">
        <w:rPr>
          <w:b/>
          <w:bCs/>
        </w:rPr>
        <w:t xml:space="preserve"> </w:t>
      </w:r>
      <w:r w:rsidR="00DB6879">
        <w:rPr>
          <w:b/>
          <w:bCs/>
        </w:rPr>
        <w:t>(</w:t>
      </w:r>
      <w:r w:rsidR="00EC756F">
        <w:rPr>
          <w:b/>
          <w:bCs/>
        </w:rPr>
        <w:t>CVA</w:t>
      </w:r>
      <w:r w:rsidR="00DB6879">
        <w:rPr>
          <w:b/>
          <w:bCs/>
        </w:rPr>
        <w:t>)</w:t>
      </w:r>
      <w:r w:rsidR="006D7CCD" w:rsidRPr="00F216FA">
        <w:rPr>
          <w:b/>
          <w:bCs/>
        </w:rPr>
        <w:t xml:space="preserve"> appropriateness and</w:t>
      </w:r>
      <w:r w:rsidRPr="00F216FA">
        <w:rPr>
          <w:b/>
          <w:bCs/>
        </w:rPr>
        <w:t xml:space="preserve"> feasibility</w:t>
      </w:r>
      <w:r w:rsidR="005364C7">
        <w:rPr>
          <w:b/>
          <w:bCs/>
        </w:rPr>
        <w:t xml:space="preserve"> </w:t>
      </w:r>
      <w:r w:rsidR="00AB2615">
        <w:rPr>
          <w:b/>
          <w:bCs/>
        </w:rPr>
        <w:t>in general</w:t>
      </w:r>
      <w:r w:rsidRPr="00F216FA">
        <w:rPr>
          <w:b/>
          <w:bCs/>
        </w:rPr>
        <w:t xml:space="preserve"> </w:t>
      </w:r>
      <w:r w:rsidR="00EC756F">
        <w:rPr>
          <w:b/>
          <w:bCs/>
        </w:rPr>
        <w:t xml:space="preserve">(in collaboration with Cash Working Groups and other </w:t>
      </w:r>
      <w:r w:rsidR="00AB2615">
        <w:rPr>
          <w:b/>
          <w:bCs/>
        </w:rPr>
        <w:t>clusters</w:t>
      </w:r>
      <w:r w:rsidR="00EC756F">
        <w:rPr>
          <w:b/>
          <w:bCs/>
        </w:rPr>
        <w:t>)</w:t>
      </w:r>
      <w:r w:rsidR="00235908">
        <w:rPr>
          <w:b/>
          <w:bCs/>
        </w:rPr>
        <w:t xml:space="preserve"> to identify preliminary programme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C756F" w14:paraId="3BD0417D" w14:textId="77777777" w:rsidTr="3C15609F">
        <w:tc>
          <w:tcPr>
            <w:tcW w:w="2695" w:type="dxa"/>
          </w:tcPr>
          <w:p w14:paraId="2D81CCAD" w14:textId="77777777" w:rsidR="00EC756F" w:rsidRDefault="00EC756F" w:rsidP="00EC756F">
            <w:r>
              <w:t>Market system function</w:t>
            </w:r>
          </w:p>
          <w:p w14:paraId="04A35B0C" w14:textId="77777777" w:rsidR="00EC756F" w:rsidRDefault="00EC756F" w:rsidP="00EC756F"/>
        </w:tc>
        <w:tc>
          <w:tcPr>
            <w:tcW w:w="6655" w:type="dxa"/>
          </w:tcPr>
          <w:p w14:paraId="4A4B4D45" w14:textId="118F3997" w:rsidR="005364C7" w:rsidRDefault="00EC756F" w:rsidP="00EC756F">
            <w:pPr>
              <w:pStyle w:val="ListParagraph"/>
              <w:numPr>
                <w:ilvl w:val="0"/>
                <w:numId w:val="5"/>
              </w:numPr>
            </w:pPr>
            <w:r>
              <w:t>Look into</w:t>
            </w:r>
            <w:r w:rsidR="00670104">
              <w:t xml:space="preserve"> critical</w:t>
            </w:r>
            <w:r>
              <w:t xml:space="preserve"> markets for: </w:t>
            </w:r>
            <w:r w:rsidR="005364C7">
              <w:t>water, sanitation, hygiene</w:t>
            </w:r>
            <w:r>
              <w:t>.</w:t>
            </w:r>
          </w:p>
          <w:p w14:paraId="52DBFDF9" w14:textId="4E8BC939" w:rsidR="00EC756F" w:rsidRDefault="005364C7" w:rsidP="00EC756F">
            <w:pPr>
              <w:pStyle w:val="ListParagraph"/>
              <w:numPr>
                <w:ilvl w:val="0"/>
                <w:numId w:val="5"/>
              </w:numPr>
            </w:pPr>
            <w:r>
              <w:t xml:space="preserve">This will ensure that your programming is market-sensitive and can prepare the ground for CVA and / or market support interventions. </w:t>
            </w:r>
            <w:r w:rsidR="00EC756F">
              <w:t xml:space="preserve"> </w:t>
            </w:r>
          </w:p>
          <w:p w14:paraId="09E89CB3" w14:textId="18990B66" w:rsidR="00EC756F" w:rsidRDefault="3C15609F" w:rsidP="3C15609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Tools:  </w:t>
            </w:r>
            <w:hyperlink r:id="rId7">
              <w:r w:rsidRPr="3C15609F">
                <w:rPr>
                  <w:rStyle w:val="Hyperlink"/>
                </w:rPr>
                <w:t>Pre-crisis market analysis guidance</w:t>
              </w:r>
            </w:hyperlink>
            <w:r>
              <w:t xml:space="preserve"> and the </w:t>
            </w:r>
            <w:hyperlink r:id="rId8">
              <w:r w:rsidRPr="3C15609F">
                <w:rPr>
                  <w:rStyle w:val="Hyperlink"/>
                </w:rPr>
                <w:t>Market analysis guidance (MAG)</w:t>
              </w:r>
            </w:hyperlink>
            <w:r>
              <w:t xml:space="preserve">.   </w:t>
            </w:r>
          </w:p>
        </w:tc>
      </w:tr>
      <w:tr w:rsidR="00EC756F" w14:paraId="68A4A8AC" w14:textId="77777777" w:rsidTr="3C15609F">
        <w:tc>
          <w:tcPr>
            <w:tcW w:w="2695" w:type="dxa"/>
          </w:tcPr>
          <w:p w14:paraId="3F6D36AC" w14:textId="1E530B57" w:rsidR="00EC756F" w:rsidRDefault="00EC756F" w:rsidP="00EC756F">
            <w:r>
              <w:t>Acceptance of the CVA modalities by communities, government and donors</w:t>
            </w:r>
          </w:p>
        </w:tc>
        <w:tc>
          <w:tcPr>
            <w:tcW w:w="6655" w:type="dxa"/>
          </w:tcPr>
          <w:p w14:paraId="5BD72B4A" w14:textId="62D4F1F4" w:rsidR="00EC756F" w:rsidRDefault="00EC756F" w:rsidP="00EC756F">
            <w:pPr>
              <w:pStyle w:val="ListParagraph"/>
              <w:numPr>
                <w:ilvl w:val="0"/>
                <w:numId w:val="7"/>
              </w:numPr>
            </w:pPr>
            <w:r>
              <w:t xml:space="preserve">Assess what is politically possible from a donor and government perspective, and preferences of affected people in terms of programme delivery modality. </w:t>
            </w:r>
          </w:p>
        </w:tc>
      </w:tr>
      <w:tr w:rsidR="00EC756F" w14:paraId="5D6BE5BC" w14:textId="77777777" w:rsidTr="3C15609F">
        <w:tc>
          <w:tcPr>
            <w:tcW w:w="2695" w:type="dxa"/>
          </w:tcPr>
          <w:p w14:paraId="41FA41CD" w14:textId="77777777" w:rsidR="00EC756F" w:rsidRDefault="00EC756F" w:rsidP="00EC756F">
            <w:r>
              <w:t xml:space="preserve">Potential transfer mechanisms and capacity of (financial) service providers </w:t>
            </w:r>
          </w:p>
          <w:p w14:paraId="0FE7B2D1" w14:textId="77777777" w:rsidR="00EC756F" w:rsidRDefault="00EC756F" w:rsidP="00EC756F"/>
        </w:tc>
        <w:tc>
          <w:tcPr>
            <w:tcW w:w="6655" w:type="dxa"/>
          </w:tcPr>
          <w:p w14:paraId="412680F0" w14:textId="5ED18F9D" w:rsidR="00EC756F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>Assess mechanisms to be used in case of crisis: cash in hand, paper voucher, (mobile) banking, mobile phones, e-vouchers</w:t>
            </w:r>
            <w:r w:rsidR="00C73B59">
              <w:t>.</w:t>
            </w:r>
          </w:p>
          <w:p w14:paraId="5703CC3A" w14:textId="574C54F7" w:rsidR="0025407D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>Assess the capacity of financial</w:t>
            </w:r>
            <w:r w:rsidR="001F0181">
              <w:t xml:space="preserve"> </w:t>
            </w:r>
            <w:r w:rsidR="00C73B59">
              <w:t>and IT</w:t>
            </w:r>
            <w:r>
              <w:t xml:space="preserve"> service providers.</w:t>
            </w:r>
          </w:p>
          <w:p w14:paraId="46C3B7B8" w14:textId="0690646D" w:rsidR="0025407D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 xml:space="preserve">Tool: Mercy Corps’ </w:t>
            </w:r>
            <w:hyperlink r:id="rId9" w:history="1">
              <w:r>
                <w:rPr>
                  <w:rStyle w:val="Hyperlink"/>
                </w:rPr>
                <w:t>Delivery Guide: Scoping the Humanitarian Payments Landscape</w:t>
              </w:r>
            </w:hyperlink>
            <w:r>
              <w:t>.</w:t>
            </w:r>
          </w:p>
        </w:tc>
      </w:tr>
      <w:tr w:rsidR="00EC756F" w14:paraId="49C654BF" w14:textId="77777777" w:rsidTr="3C15609F">
        <w:tc>
          <w:tcPr>
            <w:tcW w:w="2695" w:type="dxa"/>
          </w:tcPr>
          <w:p w14:paraId="0F59399D" w14:textId="7500C134" w:rsidR="00EC756F" w:rsidRDefault="0025407D" w:rsidP="00C73B59">
            <w:r>
              <w:t>Risk assessment and analysis</w:t>
            </w:r>
          </w:p>
        </w:tc>
        <w:tc>
          <w:tcPr>
            <w:tcW w:w="6655" w:type="dxa"/>
          </w:tcPr>
          <w:p w14:paraId="6D03E71E" w14:textId="52154906" w:rsidR="00EC756F" w:rsidRDefault="00C73B59" w:rsidP="00C73B59">
            <w:pPr>
              <w:pStyle w:val="ListParagraph"/>
              <w:numPr>
                <w:ilvl w:val="0"/>
                <w:numId w:val="8"/>
              </w:numPr>
            </w:pPr>
            <w:r>
              <w:t xml:space="preserve">Assess contextual, programmatic and institutional risks that can hinder the implementation of </w:t>
            </w:r>
            <w:r w:rsidR="00832510">
              <w:t>MBP</w:t>
            </w:r>
          </w:p>
        </w:tc>
      </w:tr>
      <w:tr w:rsidR="00EC756F" w14:paraId="25F7281A" w14:textId="77777777" w:rsidTr="3C15609F">
        <w:tc>
          <w:tcPr>
            <w:tcW w:w="2695" w:type="dxa"/>
          </w:tcPr>
          <w:p w14:paraId="58ADFE20" w14:textId="400931DD" w:rsidR="00EC756F" w:rsidRDefault="007F4E95" w:rsidP="007F4E95">
            <w:r>
              <w:t>Capacity assessment (</w:t>
            </w:r>
            <w:r w:rsidR="005364C7">
              <w:t>cluster</w:t>
            </w:r>
            <w:r>
              <w:t xml:space="preserve"> partners and national social protection systems) </w:t>
            </w:r>
          </w:p>
        </w:tc>
        <w:tc>
          <w:tcPr>
            <w:tcW w:w="6655" w:type="dxa"/>
          </w:tcPr>
          <w:p w14:paraId="25FAEA31" w14:textId="633337A3" w:rsidR="00EC756F" w:rsidRDefault="007F4E95" w:rsidP="007F4E95">
            <w:pPr>
              <w:pStyle w:val="ListParagraph"/>
              <w:numPr>
                <w:ilvl w:val="0"/>
                <w:numId w:val="8"/>
              </w:numPr>
            </w:pPr>
            <w:r>
              <w:t xml:space="preserve">Determine if the capacity for implementing </w:t>
            </w:r>
            <w:r w:rsidR="00832510">
              <w:t>MBP</w:t>
            </w:r>
            <w:r>
              <w:t xml:space="preserve"> exists within partner organizations</w:t>
            </w:r>
            <w:r w:rsidR="005364C7">
              <w:t xml:space="preserve"> or the national social protection system</w:t>
            </w:r>
            <w:r>
              <w:t xml:space="preserve"> and define whether additional capacity and resources are needed and when</w:t>
            </w:r>
          </w:p>
        </w:tc>
      </w:tr>
    </w:tbl>
    <w:p w14:paraId="6DA11454" w14:textId="32AD399B" w:rsidR="00EC756F" w:rsidRDefault="00EC756F" w:rsidP="00EC756F">
      <w:pPr>
        <w:spacing w:after="0"/>
      </w:pPr>
    </w:p>
    <w:p w14:paraId="31DD7123" w14:textId="6DF36707" w:rsidR="0050058F" w:rsidRDefault="0050058F" w:rsidP="000575AC">
      <w:r>
        <w:t xml:space="preserve">If the </w:t>
      </w:r>
      <w:r w:rsidR="005D47D7">
        <w:t>answer</w:t>
      </w:r>
      <w:r w:rsidR="00725C96">
        <w:t>s</w:t>
      </w:r>
      <w:r w:rsidR="005D47D7">
        <w:t xml:space="preserve"> to the above questions show that </w:t>
      </w:r>
      <w:r w:rsidR="00725C96">
        <w:t xml:space="preserve">overall </w:t>
      </w:r>
      <w:r w:rsidR="00826FC2">
        <w:t>MBP</w:t>
      </w:r>
      <w:r w:rsidR="00725C96">
        <w:t xml:space="preserve"> is not feasible</w:t>
      </w:r>
      <w:r w:rsidR="00BB2FA9">
        <w:t xml:space="preserve"> and no viable programme options c</w:t>
      </w:r>
      <w:r w:rsidR="001F0181">
        <w:t>an</w:t>
      </w:r>
      <w:r w:rsidR="00BB2FA9">
        <w:t xml:space="preserve"> be identified</w:t>
      </w:r>
      <w:r>
        <w:t xml:space="preserve">, it is advisable for the </w:t>
      </w:r>
      <w:r w:rsidR="004A283C">
        <w:t>cluster</w:t>
      </w:r>
      <w:r>
        <w:t xml:space="preserve"> to revert to the </w:t>
      </w:r>
      <w:r w:rsidR="003A1EC0">
        <w:t>direct assistance modality (</w:t>
      </w:r>
      <w:r>
        <w:t>in-kind and service provisio</w:t>
      </w:r>
      <w:r w:rsidR="003A1EC0">
        <w:t>n)</w:t>
      </w:r>
      <w:r>
        <w:t>.</w:t>
      </w:r>
    </w:p>
    <w:p w14:paraId="24264474" w14:textId="7CDFC12F" w:rsidR="003E6AEA" w:rsidRPr="00F10B76" w:rsidRDefault="00D500D7" w:rsidP="00E06C13">
      <w:pPr>
        <w:pStyle w:val="ListParagraph"/>
        <w:numPr>
          <w:ilvl w:val="0"/>
          <w:numId w:val="1"/>
        </w:numPr>
        <w:rPr>
          <w:b/>
          <w:bCs/>
        </w:rPr>
      </w:pPr>
      <w:r w:rsidRPr="00F10B76">
        <w:rPr>
          <w:b/>
          <w:bCs/>
        </w:rPr>
        <w:t>Identify and set up mechanisms and procedures (including signed agreements with partners) to support</w:t>
      </w:r>
      <w:r w:rsidR="00DB6879">
        <w:rPr>
          <w:b/>
          <w:bCs/>
        </w:rPr>
        <w:t xml:space="preserve"> MBP</w:t>
      </w:r>
      <w:r w:rsidRPr="00F10B76">
        <w:rPr>
          <w:b/>
          <w:bCs/>
        </w:rPr>
        <w:t xml:space="preserve"> implementation</w:t>
      </w:r>
    </w:p>
    <w:p w14:paraId="2ACCB7C7" w14:textId="6F0D04A4" w:rsidR="00F10B76" w:rsidRDefault="009C2031" w:rsidP="00FE2520">
      <w:r>
        <w:t xml:space="preserve">Based on the options identified through step A above, </w:t>
      </w:r>
      <w:r w:rsidR="00123D03">
        <w:t>the following measures need to be implemented:</w:t>
      </w:r>
    </w:p>
    <w:p w14:paraId="702243F2" w14:textId="30C098A9" w:rsidR="00123D03" w:rsidRDefault="00DB6879" w:rsidP="00EB0562">
      <w:pPr>
        <w:pStyle w:val="ListParagraph"/>
        <w:numPr>
          <w:ilvl w:val="0"/>
          <w:numId w:val="4"/>
        </w:numPr>
      </w:pPr>
      <w:r>
        <w:t>MBP</w:t>
      </w:r>
      <w:r w:rsidR="00123D03">
        <w:t xml:space="preserve"> learning needs are included in the learning plans of </w:t>
      </w:r>
      <w:r w:rsidR="00B736F4">
        <w:t>the cluster and partner</w:t>
      </w:r>
      <w:r w:rsidR="00EB0562">
        <w:t xml:space="preserve"> capacity is built</w:t>
      </w:r>
      <w:r w:rsidR="00123D03">
        <w:t>;</w:t>
      </w:r>
    </w:p>
    <w:p w14:paraId="58B45443" w14:textId="4D13DB32" w:rsidR="00123D03" w:rsidRDefault="00B736F4" w:rsidP="00EB0562">
      <w:pPr>
        <w:pStyle w:val="ListParagraph"/>
        <w:numPr>
          <w:ilvl w:val="0"/>
          <w:numId w:val="4"/>
        </w:numPr>
      </w:pPr>
      <w:r>
        <w:lastRenderedPageBreak/>
        <w:t>Cluster</w:t>
      </w:r>
      <w:r w:rsidR="007568AA">
        <w:t xml:space="preserve"> partners initiate procurement processes for identified financial service providers and framework agreements are signed with them</w:t>
      </w:r>
      <w:r w:rsidR="00EB0562">
        <w:t xml:space="preserve">. The CaLP Programme Quality Toolbox offers a number of </w:t>
      </w:r>
      <w:hyperlink r:id="rId10" w:history="1">
        <w:r w:rsidR="00EB0562">
          <w:rPr>
            <w:rStyle w:val="Hyperlink"/>
          </w:rPr>
          <w:t>resources</w:t>
        </w:r>
      </w:hyperlink>
      <w:r w:rsidR="00EB0562">
        <w:t xml:space="preserve"> </w:t>
      </w:r>
      <w:r w:rsidR="007568AA">
        <w:t>;</w:t>
      </w:r>
    </w:p>
    <w:p w14:paraId="01764775" w14:textId="0A641392" w:rsidR="00DB6879" w:rsidRDefault="00DB6879" w:rsidP="00F10B76">
      <w:pPr>
        <w:pStyle w:val="ListParagraph"/>
        <w:numPr>
          <w:ilvl w:val="0"/>
          <w:numId w:val="4"/>
        </w:numPr>
      </w:pPr>
      <w:r>
        <w:t>The cluster works closely with the Cash Working Group (where this exists) and with the ICCG to coordinate CVA preparedness</w:t>
      </w:r>
      <w:r w:rsidR="00F6659C">
        <w:t>. The cluster focuses on coordinating sectoral CVA and market support preparedness, while the CWG and the ICCG focus on multi-sectoral preparedness and on feasibility elements such as CVA acceptance, financial service provider assessment, risk assessment, capacity assessment.</w:t>
      </w:r>
    </w:p>
    <w:sectPr w:rsidR="00DB68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1BAA" w14:textId="77777777" w:rsidR="004675A1" w:rsidRDefault="004675A1" w:rsidP="008807F7">
      <w:pPr>
        <w:spacing w:after="0" w:line="240" w:lineRule="auto"/>
      </w:pPr>
      <w:r>
        <w:separator/>
      </w:r>
    </w:p>
  </w:endnote>
  <w:endnote w:type="continuationSeparator" w:id="0">
    <w:p w14:paraId="0204585E" w14:textId="77777777" w:rsidR="004675A1" w:rsidRDefault="004675A1" w:rsidP="0088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261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29F59" w14:textId="78A3AB8D" w:rsidR="00BD7A63" w:rsidRDefault="00BD7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98BD6" w14:textId="77777777" w:rsidR="008807F7" w:rsidRDefault="0088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8EBBA" w14:textId="77777777" w:rsidR="004675A1" w:rsidRDefault="004675A1" w:rsidP="008807F7">
      <w:pPr>
        <w:spacing w:after="0" w:line="240" w:lineRule="auto"/>
      </w:pPr>
      <w:r>
        <w:separator/>
      </w:r>
    </w:p>
  </w:footnote>
  <w:footnote w:type="continuationSeparator" w:id="0">
    <w:p w14:paraId="1706B2AE" w14:textId="77777777" w:rsidR="004675A1" w:rsidRDefault="004675A1" w:rsidP="0088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E4CB" w14:textId="49413EA3" w:rsidR="008807F7" w:rsidRDefault="00880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3C7B"/>
    <w:multiLevelType w:val="hybridMultilevel"/>
    <w:tmpl w:val="E9306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C4D"/>
    <w:multiLevelType w:val="hybridMultilevel"/>
    <w:tmpl w:val="D7E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9BD"/>
    <w:multiLevelType w:val="hybridMultilevel"/>
    <w:tmpl w:val="E97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2A2"/>
    <w:multiLevelType w:val="hybridMultilevel"/>
    <w:tmpl w:val="02D6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B7A"/>
    <w:multiLevelType w:val="hybridMultilevel"/>
    <w:tmpl w:val="940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75DE4"/>
    <w:multiLevelType w:val="hybridMultilevel"/>
    <w:tmpl w:val="9C6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86D93"/>
    <w:multiLevelType w:val="hybridMultilevel"/>
    <w:tmpl w:val="D8D0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61AE"/>
    <w:multiLevelType w:val="hybridMultilevel"/>
    <w:tmpl w:val="1D10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5"/>
    <w:rsid w:val="00006001"/>
    <w:rsid w:val="000428E1"/>
    <w:rsid w:val="000575AC"/>
    <w:rsid w:val="00087706"/>
    <w:rsid w:val="00123D03"/>
    <w:rsid w:val="00182358"/>
    <w:rsid w:val="001836B7"/>
    <w:rsid w:val="001A5442"/>
    <w:rsid w:val="001B3E8D"/>
    <w:rsid w:val="001F0181"/>
    <w:rsid w:val="002253F2"/>
    <w:rsid w:val="00235908"/>
    <w:rsid w:val="0025407D"/>
    <w:rsid w:val="002C235C"/>
    <w:rsid w:val="002C5179"/>
    <w:rsid w:val="002E4E9F"/>
    <w:rsid w:val="00313FCE"/>
    <w:rsid w:val="003A1EC0"/>
    <w:rsid w:val="003B24A3"/>
    <w:rsid w:val="003B4195"/>
    <w:rsid w:val="003D5B56"/>
    <w:rsid w:val="00407EC0"/>
    <w:rsid w:val="004675A1"/>
    <w:rsid w:val="004A283C"/>
    <w:rsid w:val="004B44DF"/>
    <w:rsid w:val="0050058F"/>
    <w:rsid w:val="00507086"/>
    <w:rsid w:val="005364C7"/>
    <w:rsid w:val="005D47D7"/>
    <w:rsid w:val="0060426D"/>
    <w:rsid w:val="00650AA1"/>
    <w:rsid w:val="00670104"/>
    <w:rsid w:val="00684094"/>
    <w:rsid w:val="006D7CCD"/>
    <w:rsid w:val="00707445"/>
    <w:rsid w:val="00725C96"/>
    <w:rsid w:val="00750D0A"/>
    <w:rsid w:val="0075329E"/>
    <w:rsid w:val="00754892"/>
    <w:rsid w:val="007568AA"/>
    <w:rsid w:val="0077737A"/>
    <w:rsid w:val="007F4E95"/>
    <w:rsid w:val="00807BF2"/>
    <w:rsid w:val="00816477"/>
    <w:rsid w:val="00826906"/>
    <w:rsid w:val="00826FC2"/>
    <w:rsid w:val="00832510"/>
    <w:rsid w:val="008563E2"/>
    <w:rsid w:val="008807F7"/>
    <w:rsid w:val="00896A8A"/>
    <w:rsid w:val="00923F38"/>
    <w:rsid w:val="009C2031"/>
    <w:rsid w:val="009E024E"/>
    <w:rsid w:val="00AB2615"/>
    <w:rsid w:val="00AE7FF1"/>
    <w:rsid w:val="00B165A6"/>
    <w:rsid w:val="00B30F20"/>
    <w:rsid w:val="00B736F4"/>
    <w:rsid w:val="00BA2EB6"/>
    <w:rsid w:val="00BB2FA9"/>
    <w:rsid w:val="00BD7A63"/>
    <w:rsid w:val="00BF5094"/>
    <w:rsid w:val="00BF5865"/>
    <w:rsid w:val="00C0708E"/>
    <w:rsid w:val="00C62CE7"/>
    <w:rsid w:val="00C73B59"/>
    <w:rsid w:val="00C82A84"/>
    <w:rsid w:val="00C82DC9"/>
    <w:rsid w:val="00CD1B35"/>
    <w:rsid w:val="00D500D7"/>
    <w:rsid w:val="00D8123B"/>
    <w:rsid w:val="00DA7762"/>
    <w:rsid w:val="00DB6879"/>
    <w:rsid w:val="00DC3D27"/>
    <w:rsid w:val="00DD4E94"/>
    <w:rsid w:val="00E06C13"/>
    <w:rsid w:val="00E1685C"/>
    <w:rsid w:val="00E21346"/>
    <w:rsid w:val="00E33DE7"/>
    <w:rsid w:val="00E413C1"/>
    <w:rsid w:val="00EA7E07"/>
    <w:rsid w:val="00EB0562"/>
    <w:rsid w:val="00EC756F"/>
    <w:rsid w:val="00F10B76"/>
    <w:rsid w:val="00F110FA"/>
    <w:rsid w:val="00F216FA"/>
    <w:rsid w:val="00F3677C"/>
    <w:rsid w:val="00F533B2"/>
    <w:rsid w:val="00F6659C"/>
    <w:rsid w:val="00FA0F2F"/>
    <w:rsid w:val="00FE2520"/>
    <w:rsid w:val="00FE41DA"/>
    <w:rsid w:val="3C1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93A5"/>
  <w15:chartTrackingRefBased/>
  <w15:docId w15:val="{450E1BBC-B1CE-495C-B5F4-01870E8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7"/>
  </w:style>
  <w:style w:type="paragraph" w:styleId="Footer">
    <w:name w:val="footer"/>
    <w:basedOn w:val="Normal"/>
    <w:link w:val="FooterChar"/>
    <w:uiPriority w:val="99"/>
    <w:unhideWhenUsed/>
    <w:rsid w:val="0088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7"/>
  </w:style>
  <w:style w:type="table" w:styleId="TableGrid">
    <w:name w:val="Table Grid"/>
    <w:basedOn w:val="TableNormal"/>
    <w:uiPriority w:val="39"/>
    <w:rsid w:val="00E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/doc/assets/files/publications/icrc-002-4200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emma-toolkit.org/sites/default/files/bundle/PMCA_FINAL_WEB.pdf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alpnetwork.org/toolset/partnership-preparedness/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calpnetwork.org/publication/the-delivery-guide-scoping-the-humanitarian-payments-landsca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6" ma:contentTypeDescription="" ma:contentTypeScope="" ma:versionID="c415e87bc3355778a1fdcc5ccfdb7b0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0267cd9adb08f6289f126b679693b27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EMOPSGCCU-1076225054-125395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https://unicef.sharepoint.com/teams/EMOPS-GCCU/_layouts/15/DocIdRedir.aspx?ID=EMOPSGCCU-1076225054-125395</Url>
      <Description>EMOPSGCCU-1076225054-125395</Description>
    </_dlc_DocIdUrl>
    <ContentLanguage xmlns="ca283e0b-db31-4043-a2ef-b80661bf084a">English</ContentLanguage>
    <SemaphoreItemMetadata xmlns="5858627f-d058-4b92-9b52-677b5fd7d454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B6C5CAEF-51B4-40AB-B781-84856884C36D}"/>
</file>

<file path=customXml/itemProps2.xml><?xml version="1.0" encoding="utf-8"?>
<ds:datastoreItem xmlns:ds="http://schemas.openxmlformats.org/officeDocument/2006/customXml" ds:itemID="{30C988BC-CF01-42E8-8552-406C310FBF0A}"/>
</file>

<file path=customXml/itemProps3.xml><?xml version="1.0" encoding="utf-8"?>
<ds:datastoreItem xmlns:ds="http://schemas.openxmlformats.org/officeDocument/2006/customXml" ds:itemID="{21311D8D-3C85-4371-B06D-F205A5368F3E}"/>
</file>

<file path=customXml/itemProps4.xml><?xml version="1.0" encoding="utf-8"?>
<ds:datastoreItem xmlns:ds="http://schemas.openxmlformats.org/officeDocument/2006/customXml" ds:itemID="{0E00F26E-EE69-419D-BC56-25C06906BFF8}"/>
</file>

<file path=customXml/itemProps5.xml><?xml version="1.0" encoding="utf-8"?>
<ds:datastoreItem xmlns:ds="http://schemas.openxmlformats.org/officeDocument/2006/customXml" ds:itemID="{0355516C-4838-417E-B90D-625D358A6DB2}"/>
</file>

<file path=customXml/itemProps6.xml><?xml version="1.0" encoding="utf-8"?>
<ds:datastoreItem xmlns:ds="http://schemas.openxmlformats.org/officeDocument/2006/customXml" ds:itemID="{FC0AC66D-B3BE-4D77-AA24-CC0277961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Truhlarova Cristescu</dc:creator>
  <cp:keywords/>
  <dc:description/>
  <cp:lastModifiedBy>Dana Truhlarova Cristescu</cp:lastModifiedBy>
  <cp:revision>21</cp:revision>
  <cp:lastPrinted>2022-02-22T13:59:00Z</cp:lastPrinted>
  <dcterms:created xsi:type="dcterms:W3CDTF">2022-04-27T10:15:00Z</dcterms:created>
  <dcterms:modified xsi:type="dcterms:W3CDTF">2022-04-27T12:11:00Z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0x0101009BA85F8052A6DA4FA3E31FF9F74C69700070C0DFB21998F24CB43F3479CB9B9F89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6988c979-1088-46b3-a47d-0132b39ac853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