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5BDF" w14:textId="20B2F104" w:rsidR="000B1DD0" w:rsidRPr="001E70A0" w:rsidRDefault="002E0262">
      <w:pPr>
        <w:jc w:val="center"/>
        <w:rPr>
          <w:sz w:val="28"/>
          <w:szCs w:val="28"/>
          <w:u w:val="single"/>
          <w:lang w:val="fr-FR"/>
        </w:rPr>
      </w:pPr>
      <w:r w:rsidRPr="001E70A0">
        <w:rPr>
          <w:sz w:val="28"/>
          <w:szCs w:val="28"/>
          <w:u w:val="single"/>
          <w:lang w:val="fr-FR"/>
        </w:rPr>
        <w:t xml:space="preserve">Préparer </w:t>
      </w:r>
      <w:r w:rsidR="00FE41DA" w:rsidRPr="001E70A0">
        <w:rPr>
          <w:sz w:val="28"/>
          <w:szCs w:val="28"/>
          <w:u w:val="single"/>
          <w:lang w:val="fr-FR"/>
        </w:rPr>
        <w:t>la programmation basée sur le</w:t>
      </w:r>
      <w:r w:rsidR="001E70A0">
        <w:rPr>
          <w:sz w:val="28"/>
          <w:szCs w:val="28"/>
          <w:u w:val="single"/>
          <w:lang w:val="fr-FR"/>
        </w:rPr>
        <w:t>s</w:t>
      </w:r>
      <w:r w:rsidR="00FE41DA" w:rsidRPr="001E70A0">
        <w:rPr>
          <w:sz w:val="28"/>
          <w:szCs w:val="28"/>
          <w:u w:val="single"/>
          <w:lang w:val="fr-FR"/>
        </w:rPr>
        <w:t xml:space="preserve"> marché</w:t>
      </w:r>
      <w:r w:rsidR="001E70A0">
        <w:rPr>
          <w:sz w:val="28"/>
          <w:szCs w:val="28"/>
          <w:u w:val="single"/>
          <w:lang w:val="fr-FR"/>
        </w:rPr>
        <w:t>s</w:t>
      </w:r>
      <w:r w:rsidR="00FE41DA" w:rsidRPr="001E70A0">
        <w:rPr>
          <w:sz w:val="28"/>
          <w:szCs w:val="28"/>
          <w:u w:val="single"/>
          <w:lang w:val="fr-FR"/>
        </w:rPr>
        <w:t xml:space="preserve"> dans le secteur </w:t>
      </w:r>
      <w:r w:rsidR="001E70A0">
        <w:rPr>
          <w:sz w:val="28"/>
          <w:szCs w:val="28"/>
          <w:u w:val="single"/>
          <w:lang w:val="fr-FR"/>
        </w:rPr>
        <w:t>EHA</w:t>
      </w:r>
      <w:r w:rsidR="00FE41DA" w:rsidRPr="001E70A0">
        <w:rPr>
          <w:sz w:val="28"/>
          <w:szCs w:val="28"/>
          <w:u w:val="single"/>
          <w:lang w:val="fr-FR"/>
        </w:rPr>
        <w:t xml:space="preserve"> en situation d'urgence</w:t>
      </w:r>
    </w:p>
    <w:p w14:paraId="18A66B28" w14:textId="2E8C3F8E" w:rsidR="000B1DD0" w:rsidRPr="001E70A0" w:rsidRDefault="002E0262">
      <w:pPr>
        <w:rPr>
          <w:lang w:val="fr-FR"/>
        </w:rPr>
      </w:pPr>
      <w:r w:rsidRPr="001E70A0">
        <w:rPr>
          <w:lang w:val="fr-FR"/>
        </w:rPr>
        <w:t xml:space="preserve">La programmation </w:t>
      </w:r>
      <w:r w:rsidR="001E70A0">
        <w:rPr>
          <w:lang w:val="fr-FR"/>
        </w:rPr>
        <w:t>EHA</w:t>
      </w:r>
      <w:r w:rsidRPr="001E70A0">
        <w:rPr>
          <w:lang w:val="fr-FR"/>
        </w:rPr>
        <w:t xml:space="preserve"> doit être sensible au</w:t>
      </w:r>
      <w:r w:rsidR="001E70A0">
        <w:rPr>
          <w:lang w:val="fr-FR"/>
        </w:rPr>
        <w:t>x</w:t>
      </w:r>
      <w:r w:rsidRPr="001E70A0">
        <w:rPr>
          <w:lang w:val="fr-FR"/>
        </w:rPr>
        <w:t xml:space="preserve"> marché</w:t>
      </w:r>
      <w:r w:rsidR="001E70A0">
        <w:rPr>
          <w:lang w:val="fr-FR"/>
        </w:rPr>
        <w:t>s</w:t>
      </w:r>
      <w:r w:rsidRPr="001E70A0">
        <w:rPr>
          <w:lang w:val="fr-FR"/>
        </w:rPr>
        <w:t xml:space="preserve"> </w:t>
      </w:r>
      <w:r w:rsidR="00E21346" w:rsidRPr="001E70A0">
        <w:rPr>
          <w:lang w:val="fr-FR"/>
        </w:rPr>
        <w:t>à tout moment</w:t>
      </w:r>
      <w:r w:rsidRPr="001E70A0">
        <w:rPr>
          <w:lang w:val="fr-FR"/>
        </w:rPr>
        <w:t>, et basée sur le</w:t>
      </w:r>
      <w:r w:rsidR="001E70A0">
        <w:rPr>
          <w:lang w:val="fr-FR"/>
        </w:rPr>
        <w:t>s</w:t>
      </w:r>
      <w:r w:rsidRPr="001E70A0">
        <w:rPr>
          <w:lang w:val="fr-FR"/>
        </w:rPr>
        <w:t xml:space="preserve"> marché</w:t>
      </w:r>
      <w:r w:rsidR="001E70A0">
        <w:rPr>
          <w:lang w:val="fr-FR"/>
        </w:rPr>
        <w:t>s</w:t>
      </w:r>
      <w:r w:rsidRPr="001E70A0">
        <w:rPr>
          <w:lang w:val="fr-FR"/>
        </w:rPr>
        <w:t xml:space="preserve"> lorsque cela est possible. Pour ce faire, l'évaluation et l'analyse du marché sont des étapes essentielles. </w:t>
      </w:r>
    </w:p>
    <w:p w14:paraId="43699BA6" w14:textId="45A41A5A" w:rsidR="000B1DD0" w:rsidRPr="001E70A0" w:rsidRDefault="002E0262">
      <w:pPr>
        <w:rPr>
          <w:lang w:val="fr-FR"/>
        </w:rPr>
      </w:pPr>
      <w:r w:rsidRPr="001E70A0">
        <w:rPr>
          <w:lang w:val="fr-FR"/>
        </w:rPr>
        <w:t xml:space="preserve">L'assistance directe (fourniture de biens et de services en nature) et les programmes axés sur le marché (argent liquide, </w:t>
      </w:r>
      <w:r w:rsidRPr="001E70A0">
        <w:rPr>
          <w:lang w:val="fr-FR"/>
        </w:rPr>
        <w:t xml:space="preserve">bons d'achat, soutien au marché) </w:t>
      </w:r>
      <w:r w:rsidR="00DD4E94" w:rsidRPr="001E70A0">
        <w:rPr>
          <w:lang w:val="fr-FR"/>
        </w:rPr>
        <w:t xml:space="preserve">sont des modalités d'exécution des programmes qui </w:t>
      </w:r>
      <w:r w:rsidR="00182358" w:rsidRPr="001E70A0">
        <w:rPr>
          <w:lang w:val="fr-FR"/>
        </w:rPr>
        <w:t xml:space="preserve">doivent être prises en compte de la même manière lors de la planification et de la conception des mesures de préparation aux urgences. Les mesures de préparation actuelles sont encore largement axées sur la fourniture d'une </w:t>
      </w:r>
      <w:r w:rsidRPr="001E70A0">
        <w:rPr>
          <w:lang w:val="fr-FR"/>
        </w:rPr>
        <w:t>assistance directe</w:t>
      </w:r>
      <w:r w:rsidR="00182358" w:rsidRPr="001E70A0">
        <w:rPr>
          <w:lang w:val="fr-FR"/>
        </w:rPr>
        <w:t xml:space="preserve">. La </w:t>
      </w:r>
      <w:r w:rsidRPr="001E70A0">
        <w:rPr>
          <w:lang w:val="fr-FR"/>
        </w:rPr>
        <w:t>programmation basée sur le marché (</w:t>
      </w:r>
      <w:r w:rsidR="001D5529">
        <w:rPr>
          <w:lang w:val="fr-FR"/>
        </w:rPr>
        <w:t>PBM</w:t>
      </w:r>
      <w:r w:rsidRPr="001E70A0">
        <w:rPr>
          <w:lang w:val="fr-FR"/>
        </w:rPr>
        <w:t xml:space="preserve">) </w:t>
      </w:r>
      <w:r w:rsidR="00182358" w:rsidRPr="001E70A0">
        <w:rPr>
          <w:lang w:val="fr-FR"/>
        </w:rPr>
        <w:t>nécessite des mesures de préparation spécifiques</w:t>
      </w:r>
      <w:r w:rsidR="002C235C" w:rsidRPr="001E70A0">
        <w:rPr>
          <w:lang w:val="fr-FR"/>
        </w:rPr>
        <w:t xml:space="preserve">, résumées ci-dessous. </w:t>
      </w:r>
    </w:p>
    <w:p w14:paraId="4584F909" w14:textId="77777777" w:rsidR="000B1DD0" w:rsidRPr="001E70A0" w:rsidRDefault="002E0262">
      <w:pPr>
        <w:pStyle w:val="ListParagraph"/>
        <w:numPr>
          <w:ilvl w:val="0"/>
          <w:numId w:val="1"/>
        </w:numPr>
        <w:rPr>
          <w:b/>
          <w:bCs/>
          <w:lang w:val="fr-FR"/>
        </w:rPr>
      </w:pPr>
      <w:r w:rsidRPr="001E70A0">
        <w:rPr>
          <w:b/>
          <w:bCs/>
          <w:lang w:val="fr-FR"/>
        </w:rPr>
        <w:t xml:space="preserve">Évaluer les </w:t>
      </w:r>
      <w:r w:rsidR="00896A8A" w:rsidRPr="001E70A0">
        <w:rPr>
          <w:b/>
          <w:bCs/>
          <w:lang w:val="fr-FR"/>
        </w:rPr>
        <w:t xml:space="preserve">marchés pertinents </w:t>
      </w:r>
      <w:r w:rsidR="005364C7" w:rsidRPr="001E70A0">
        <w:rPr>
          <w:b/>
          <w:bCs/>
          <w:lang w:val="fr-FR"/>
        </w:rPr>
        <w:t xml:space="preserve">ainsi que la </w:t>
      </w:r>
      <w:r w:rsidR="006D7CCD" w:rsidRPr="001E70A0">
        <w:rPr>
          <w:b/>
          <w:bCs/>
          <w:lang w:val="fr-FR"/>
        </w:rPr>
        <w:t xml:space="preserve">pertinence et la </w:t>
      </w:r>
      <w:r w:rsidRPr="001E70A0">
        <w:rPr>
          <w:b/>
          <w:bCs/>
          <w:lang w:val="fr-FR"/>
        </w:rPr>
        <w:t>faisabili</w:t>
      </w:r>
      <w:r w:rsidRPr="001E70A0">
        <w:rPr>
          <w:b/>
          <w:bCs/>
          <w:lang w:val="fr-FR"/>
        </w:rPr>
        <w:t xml:space="preserve">té de </w:t>
      </w:r>
      <w:r w:rsidR="00DB6879" w:rsidRPr="001E70A0">
        <w:rPr>
          <w:b/>
          <w:bCs/>
          <w:lang w:val="fr-FR"/>
        </w:rPr>
        <w:t xml:space="preserve">l'assistance sous forme d'espèces et de bons </w:t>
      </w:r>
      <w:r w:rsidR="00EC756F" w:rsidRPr="001E70A0">
        <w:rPr>
          <w:b/>
          <w:bCs/>
          <w:lang w:val="fr-FR"/>
        </w:rPr>
        <w:t xml:space="preserve">en </w:t>
      </w:r>
      <w:r w:rsidR="00AB2615" w:rsidRPr="001E70A0">
        <w:rPr>
          <w:b/>
          <w:bCs/>
          <w:lang w:val="fr-FR"/>
        </w:rPr>
        <w:t xml:space="preserve">général </w:t>
      </w:r>
      <w:r w:rsidR="00DB6879" w:rsidRPr="001E70A0">
        <w:rPr>
          <w:b/>
          <w:bCs/>
          <w:lang w:val="fr-FR"/>
        </w:rPr>
        <w:t>(</w:t>
      </w:r>
      <w:r w:rsidR="00EC756F" w:rsidRPr="001E70A0">
        <w:rPr>
          <w:b/>
          <w:bCs/>
          <w:lang w:val="fr-FR"/>
        </w:rPr>
        <w:t xml:space="preserve">en collaboration avec les groupes de travail sur les espèces et d'autres </w:t>
      </w:r>
      <w:r w:rsidR="00AB2615" w:rsidRPr="001E70A0">
        <w:rPr>
          <w:b/>
          <w:bCs/>
          <w:lang w:val="fr-FR"/>
        </w:rPr>
        <w:t>groupes sectoriels</w:t>
      </w:r>
      <w:r w:rsidR="00EC756F" w:rsidRPr="001E70A0">
        <w:rPr>
          <w:b/>
          <w:bCs/>
          <w:lang w:val="fr-FR"/>
        </w:rPr>
        <w:t xml:space="preserve">) </w:t>
      </w:r>
      <w:r w:rsidR="00235908" w:rsidRPr="001E70A0">
        <w:rPr>
          <w:b/>
          <w:bCs/>
          <w:lang w:val="fr-FR"/>
        </w:rPr>
        <w:t>afin d'identifier les options préliminaires du programme.</w:t>
      </w:r>
    </w:p>
    <w:tbl>
      <w:tblPr>
        <w:tblStyle w:val="TableGrid"/>
        <w:tblW w:w="0" w:type="auto"/>
        <w:tblLook w:val="04A0" w:firstRow="1" w:lastRow="0" w:firstColumn="1" w:lastColumn="0" w:noHBand="0" w:noVBand="1"/>
      </w:tblPr>
      <w:tblGrid>
        <w:gridCol w:w="2695"/>
        <w:gridCol w:w="6655"/>
      </w:tblGrid>
      <w:tr w:rsidR="00EC756F" w:rsidRPr="001E70A0" w14:paraId="3BD0417D" w14:textId="77777777" w:rsidTr="3C15609F">
        <w:tc>
          <w:tcPr>
            <w:tcW w:w="2695" w:type="dxa"/>
          </w:tcPr>
          <w:p w14:paraId="19529DEC" w14:textId="77777777" w:rsidR="000B1DD0" w:rsidRDefault="002E0262">
            <w:proofErr w:type="spellStart"/>
            <w:r>
              <w:t>Fonctionnement</w:t>
            </w:r>
            <w:proofErr w:type="spellEnd"/>
            <w:r>
              <w:t xml:space="preserve"> du </w:t>
            </w:r>
            <w:proofErr w:type="spellStart"/>
            <w:r>
              <w:t>système</w:t>
            </w:r>
            <w:proofErr w:type="spellEnd"/>
            <w:r>
              <w:t xml:space="preserve"> de </w:t>
            </w:r>
            <w:proofErr w:type="spellStart"/>
            <w:r>
              <w:t>marché</w:t>
            </w:r>
            <w:proofErr w:type="spellEnd"/>
          </w:p>
          <w:p w14:paraId="04A35B0C" w14:textId="77777777" w:rsidR="00EC756F" w:rsidRDefault="00EC756F" w:rsidP="00EC756F"/>
        </w:tc>
        <w:tc>
          <w:tcPr>
            <w:tcW w:w="6655" w:type="dxa"/>
          </w:tcPr>
          <w:p w14:paraId="11811D6F" w14:textId="77777777" w:rsidR="000B1DD0" w:rsidRPr="001E70A0" w:rsidRDefault="002E0262">
            <w:pPr>
              <w:pStyle w:val="ListParagraph"/>
              <w:numPr>
                <w:ilvl w:val="0"/>
                <w:numId w:val="5"/>
              </w:numPr>
              <w:rPr>
                <w:lang w:val="fr-FR"/>
              </w:rPr>
            </w:pPr>
            <w:r w:rsidRPr="001E70A0">
              <w:rPr>
                <w:lang w:val="fr-FR"/>
              </w:rPr>
              <w:t>Exami</w:t>
            </w:r>
            <w:r w:rsidRPr="001E70A0">
              <w:rPr>
                <w:lang w:val="fr-FR"/>
              </w:rPr>
              <w:t xml:space="preserve">ner les marchés </w:t>
            </w:r>
            <w:r w:rsidR="00670104" w:rsidRPr="001E70A0">
              <w:rPr>
                <w:lang w:val="fr-FR"/>
              </w:rPr>
              <w:t xml:space="preserve">critiques </w:t>
            </w:r>
            <w:r w:rsidRPr="001E70A0">
              <w:rPr>
                <w:lang w:val="fr-FR"/>
              </w:rPr>
              <w:t>pour : l'</w:t>
            </w:r>
            <w:r w:rsidR="005364C7" w:rsidRPr="001E70A0">
              <w:rPr>
                <w:lang w:val="fr-FR"/>
              </w:rPr>
              <w:t>eau, l'assainissement, l'hygiène</w:t>
            </w:r>
            <w:r w:rsidRPr="001E70A0">
              <w:rPr>
                <w:lang w:val="fr-FR"/>
              </w:rPr>
              <w:t>.</w:t>
            </w:r>
          </w:p>
          <w:p w14:paraId="2152F5BB" w14:textId="77777777" w:rsidR="000B1DD0" w:rsidRPr="001E70A0" w:rsidRDefault="002E0262">
            <w:pPr>
              <w:pStyle w:val="ListParagraph"/>
              <w:numPr>
                <w:ilvl w:val="0"/>
                <w:numId w:val="5"/>
              </w:numPr>
              <w:rPr>
                <w:lang w:val="fr-FR"/>
              </w:rPr>
            </w:pPr>
            <w:r w:rsidRPr="001E70A0">
              <w:rPr>
                <w:lang w:val="fr-FR"/>
              </w:rPr>
              <w:t xml:space="preserve">Cela permettra de s'assurer que votre programmation est sensible au marché et de préparer le terrain pour la CVA et / ou les interventions de soutien au marché. </w:t>
            </w:r>
            <w:r w:rsidR="00EC756F" w:rsidRPr="001E70A0">
              <w:rPr>
                <w:lang w:val="fr-FR"/>
              </w:rPr>
              <w:t xml:space="preserve"> </w:t>
            </w:r>
          </w:p>
          <w:p w14:paraId="06A9C893" w14:textId="4AD869F3" w:rsidR="000B1DD0" w:rsidRPr="001E70A0" w:rsidRDefault="002E0262">
            <w:pPr>
              <w:pStyle w:val="ListParagraph"/>
              <w:numPr>
                <w:ilvl w:val="0"/>
                <w:numId w:val="5"/>
              </w:numPr>
              <w:rPr>
                <w:rFonts w:eastAsiaTheme="minorEastAsia"/>
                <w:lang w:val="fr-FR"/>
              </w:rPr>
            </w:pPr>
            <w:r w:rsidRPr="001E70A0">
              <w:rPr>
                <w:lang w:val="fr-FR"/>
              </w:rPr>
              <w:t xml:space="preserve">Outils :  </w:t>
            </w:r>
            <w:hyperlink r:id="rId13">
              <w:r w:rsidRPr="001E70A0">
                <w:rPr>
                  <w:rStyle w:val="Hyperlink"/>
                  <w:lang w:val="fr-FR"/>
                </w:rPr>
                <w:t>Guide d'analyse de marché avant la crise</w:t>
              </w:r>
            </w:hyperlink>
            <w:r w:rsidRPr="001E70A0">
              <w:rPr>
                <w:lang w:val="fr-FR"/>
              </w:rPr>
              <w:t xml:space="preserve"> et </w:t>
            </w:r>
            <w:hyperlink r:id="rId14">
              <w:r w:rsidRPr="001E70A0">
                <w:rPr>
                  <w:rStyle w:val="Hyperlink"/>
                  <w:lang w:val="fr-FR"/>
                </w:rPr>
                <w:t>Guide d'analyse de marché (MA</w:t>
              </w:r>
              <w:r w:rsidRPr="001E70A0">
                <w:rPr>
                  <w:rStyle w:val="Hyperlink"/>
                  <w:lang w:val="fr-FR"/>
                </w:rPr>
                <w:t>G)</w:t>
              </w:r>
            </w:hyperlink>
            <w:r w:rsidR="001D5529" w:rsidRPr="001D5529">
              <w:rPr>
                <w:rStyle w:val="Hyperlink"/>
                <w:lang w:val="fr-FR"/>
              </w:rPr>
              <w:t xml:space="preserve"> </w:t>
            </w:r>
            <w:r w:rsidR="001D5529">
              <w:rPr>
                <w:rStyle w:val="Hyperlink"/>
                <w:lang w:val="fr-FR"/>
              </w:rPr>
              <w:t>(</w:t>
            </w:r>
            <w:r w:rsidR="001D5529" w:rsidRPr="001D5529">
              <w:rPr>
                <w:rStyle w:val="Hyperlink"/>
                <w:lang w:val="fr-FR"/>
              </w:rPr>
              <w:t xml:space="preserve">en </w:t>
            </w:r>
            <w:r w:rsidR="001D5529">
              <w:rPr>
                <w:rStyle w:val="Hyperlink"/>
                <w:lang w:val="fr-FR"/>
              </w:rPr>
              <w:t>anglais)</w:t>
            </w:r>
            <w:r w:rsidRPr="001E70A0">
              <w:rPr>
                <w:lang w:val="fr-FR"/>
              </w:rPr>
              <w:t xml:space="preserve">  </w:t>
            </w:r>
          </w:p>
        </w:tc>
      </w:tr>
      <w:tr w:rsidR="00EC756F" w:rsidRPr="001E70A0" w14:paraId="68A4A8AC" w14:textId="77777777" w:rsidTr="3C15609F">
        <w:tc>
          <w:tcPr>
            <w:tcW w:w="2695" w:type="dxa"/>
          </w:tcPr>
          <w:p w14:paraId="3A806760" w14:textId="1C0072FB" w:rsidR="000B1DD0" w:rsidRPr="001E70A0" w:rsidRDefault="002E0262">
            <w:pPr>
              <w:rPr>
                <w:lang w:val="fr-FR"/>
              </w:rPr>
            </w:pPr>
            <w:r w:rsidRPr="001E70A0">
              <w:rPr>
                <w:lang w:val="fr-FR"/>
              </w:rPr>
              <w:t>Acceptation des modalités de</w:t>
            </w:r>
            <w:r>
              <w:rPr>
                <w:lang w:val="fr-FR"/>
              </w:rPr>
              <w:t xml:space="preserve">s transferts monétaires ou bons d’achat </w:t>
            </w:r>
            <w:r w:rsidRPr="001E70A0">
              <w:rPr>
                <w:lang w:val="fr-FR"/>
              </w:rPr>
              <w:t>par les communautés, le gouvernement et les donateurs.</w:t>
            </w:r>
          </w:p>
        </w:tc>
        <w:tc>
          <w:tcPr>
            <w:tcW w:w="6655" w:type="dxa"/>
          </w:tcPr>
          <w:p w14:paraId="6B0A9BA6" w14:textId="77777777" w:rsidR="000B1DD0" w:rsidRPr="001E70A0" w:rsidRDefault="002E0262">
            <w:pPr>
              <w:pStyle w:val="ListParagraph"/>
              <w:numPr>
                <w:ilvl w:val="0"/>
                <w:numId w:val="7"/>
              </w:numPr>
              <w:rPr>
                <w:lang w:val="fr-FR"/>
              </w:rPr>
            </w:pPr>
            <w:r w:rsidRPr="001E70A0">
              <w:rPr>
                <w:lang w:val="fr-FR"/>
              </w:rPr>
              <w:t xml:space="preserve">Évaluer ce qui est politiquement possible du point de vue des donateurs et du gouvernement, et les préférences des personnes affectées en termes de modalité d'exécution du programme. </w:t>
            </w:r>
          </w:p>
        </w:tc>
      </w:tr>
      <w:tr w:rsidR="00EC756F" w:rsidRPr="001D5529" w14:paraId="5D6BE5BC" w14:textId="77777777" w:rsidTr="3C15609F">
        <w:tc>
          <w:tcPr>
            <w:tcW w:w="2695" w:type="dxa"/>
          </w:tcPr>
          <w:p w14:paraId="11021DFA" w14:textId="77777777" w:rsidR="000B1DD0" w:rsidRPr="001E70A0" w:rsidRDefault="002E0262">
            <w:pPr>
              <w:rPr>
                <w:lang w:val="fr-FR"/>
              </w:rPr>
            </w:pPr>
            <w:r w:rsidRPr="001E70A0">
              <w:rPr>
                <w:lang w:val="fr-FR"/>
              </w:rPr>
              <w:t>Mécanismes de transfert potentiels et capacité des prestataires de serv</w:t>
            </w:r>
            <w:r w:rsidRPr="001E70A0">
              <w:rPr>
                <w:lang w:val="fr-FR"/>
              </w:rPr>
              <w:t xml:space="preserve">ices (financiers) </w:t>
            </w:r>
          </w:p>
          <w:p w14:paraId="0FE7B2D1" w14:textId="77777777" w:rsidR="00EC756F" w:rsidRPr="001E70A0" w:rsidRDefault="00EC756F" w:rsidP="00EC756F">
            <w:pPr>
              <w:rPr>
                <w:lang w:val="fr-FR"/>
              </w:rPr>
            </w:pPr>
          </w:p>
        </w:tc>
        <w:tc>
          <w:tcPr>
            <w:tcW w:w="6655" w:type="dxa"/>
          </w:tcPr>
          <w:p w14:paraId="1944BE3D" w14:textId="77777777" w:rsidR="000B1DD0" w:rsidRPr="001E70A0" w:rsidRDefault="002E0262">
            <w:pPr>
              <w:pStyle w:val="ListParagraph"/>
              <w:numPr>
                <w:ilvl w:val="0"/>
                <w:numId w:val="7"/>
              </w:numPr>
              <w:rPr>
                <w:lang w:val="fr-FR"/>
              </w:rPr>
            </w:pPr>
            <w:r w:rsidRPr="001E70A0">
              <w:rPr>
                <w:lang w:val="fr-FR"/>
              </w:rPr>
              <w:t xml:space="preserve">Évaluer les mécanismes à utiliser en cas de crise : </w:t>
            </w:r>
            <w:r w:rsidRPr="001E70A0">
              <w:rPr>
                <w:lang w:val="fr-FR"/>
              </w:rPr>
              <w:t>argent liquide en main</w:t>
            </w:r>
            <w:r w:rsidRPr="001E70A0">
              <w:rPr>
                <w:lang w:val="fr-FR"/>
              </w:rPr>
              <w:t>, bons en papier, services bancaires (mobiles), téléphones portables, bons électroniques</w:t>
            </w:r>
            <w:r w:rsidR="00C73B59" w:rsidRPr="001E70A0">
              <w:rPr>
                <w:lang w:val="fr-FR"/>
              </w:rPr>
              <w:t>.</w:t>
            </w:r>
          </w:p>
          <w:p w14:paraId="7D42E965" w14:textId="77777777" w:rsidR="000B1DD0" w:rsidRPr="001E70A0" w:rsidRDefault="002E0262">
            <w:pPr>
              <w:pStyle w:val="ListParagraph"/>
              <w:numPr>
                <w:ilvl w:val="0"/>
                <w:numId w:val="7"/>
              </w:numPr>
              <w:rPr>
                <w:lang w:val="fr-FR"/>
              </w:rPr>
            </w:pPr>
            <w:r w:rsidRPr="001E70A0">
              <w:rPr>
                <w:lang w:val="fr-FR"/>
              </w:rPr>
              <w:t xml:space="preserve">Évaluer la capacité des fournisseurs de services financiers </w:t>
            </w:r>
            <w:r w:rsidR="00C73B59" w:rsidRPr="001E70A0">
              <w:rPr>
                <w:lang w:val="fr-FR"/>
              </w:rPr>
              <w:t>et informatiques</w:t>
            </w:r>
            <w:r w:rsidRPr="001E70A0">
              <w:rPr>
                <w:lang w:val="fr-FR"/>
              </w:rPr>
              <w:t>.</w:t>
            </w:r>
          </w:p>
          <w:p w14:paraId="0B00D396" w14:textId="69CC7C2B" w:rsidR="000B1DD0" w:rsidRPr="001D5529" w:rsidRDefault="002E0262">
            <w:pPr>
              <w:pStyle w:val="ListParagraph"/>
              <w:numPr>
                <w:ilvl w:val="0"/>
                <w:numId w:val="7"/>
              </w:numPr>
              <w:rPr>
                <w:lang w:val="fr-FR"/>
              </w:rPr>
            </w:pPr>
            <w:r w:rsidRPr="001D5529">
              <w:rPr>
                <w:lang w:val="fr-FR"/>
              </w:rPr>
              <w:t xml:space="preserve">Outil : </w:t>
            </w:r>
            <w:hyperlink r:id="rId15" w:history="1">
              <w:r w:rsidRPr="001D5529">
                <w:rPr>
                  <w:rStyle w:val="Hyperlink"/>
                  <w:lang w:val="fr-FR"/>
                </w:rPr>
                <w:t>Guide de livraison</w:t>
              </w:r>
            </w:hyperlink>
            <w:r w:rsidRPr="001D5529">
              <w:rPr>
                <w:lang w:val="fr-FR"/>
              </w:rPr>
              <w:t xml:space="preserve"> de Mercy Corps </w:t>
            </w:r>
            <w:hyperlink r:id="rId16" w:history="1">
              <w:r w:rsidRPr="001D5529">
                <w:rPr>
                  <w:rStyle w:val="Hyperlink"/>
                  <w:lang w:val="fr-FR"/>
                </w:rPr>
                <w:t xml:space="preserve">: </w:t>
              </w:r>
            </w:hyperlink>
            <w:hyperlink r:id="rId17" w:history="1">
              <w:proofErr w:type="spellStart"/>
              <w:r w:rsidRPr="001D5529">
                <w:rPr>
                  <w:rStyle w:val="Hyperlink"/>
                  <w:lang w:val="fr-FR"/>
                </w:rPr>
                <w:t>Scoping</w:t>
              </w:r>
              <w:proofErr w:type="spellEnd"/>
              <w:r w:rsidRPr="001D5529">
                <w:rPr>
                  <w:rStyle w:val="Hyperlink"/>
                  <w:lang w:val="fr-FR"/>
                </w:rPr>
                <w:t xml:space="preserve"> the Humanitarian Payments </w:t>
              </w:r>
              <w:proofErr w:type="spellStart"/>
              <w:r w:rsidRPr="001D5529">
                <w:rPr>
                  <w:rStyle w:val="Hyperlink"/>
                  <w:lang w:val="fr-FR"/>
                </w:rPr>
                <w:t>Landscape</w:t>
              </w:r>
              <w:proofErr w:type="spellEnd"/>
            </w:hyperlink>
            <w:r w:rsidR="001D5529" w:rsidRPr="001D5529">
              <w:rPr>
                <w:rStyle w:val="Hyperlink"/>
                <w:lang w:val="fr-FR"/>
              </w:rPr>
              <w:t xml:space="preserve"> </w:t>
            </w:r>
            <w:r w:rsidR="001D5529">
              <w:rPr>
                <w:rStyle w:val="Hyperlink"/>
                <w:lang w:val="fr-FR"/>
              </w:rPr>
              <w:t>(</w:t>
            </w:r>
            <w:r w:rsidR="001D5529" w:rsidRPr="001D5529">
              <w:rPr>
                <w:rStyle w:val="Hyperlink"/>
                <w:lang w:val="fr-FR"/>
              </w:rPr>
              <w:t xml:space="preserve">en </w:t>
            </w:r>
            <w:r w:rsidR="001D5529">
              <w:rPr>
                <w:rStyle w:val="Hyperlink"/>
                <w:lang w:val="fr-FR"/>
              </w:rPr>
              <w:t>anglais)</w:t>
            </w:r>
            <w:r w:rsidR="001D5529" w:rsidRPr="001E70A0">
              <w:rPr>
                <w:lang w:val="fr-FR"/>
              </w:rPr>
              <w:t xml:space="preserve">  </w:t>
            </w:r>
          </w:p>
        </w:tc>
      </w:tr>
      <w:tr w:rsidR="00EC756F" w:rsidRPr="001E70A0" w14:paraId="49C654BF" w14:textId="77777777" w:rsidTr="3C15609F">
        <w:tc>
          <w:tcPr>
            <w:tcW w:w="2695" w:type="dxa"/>
          </w:tcPr>
          <w:p w14:paraId="39C1D9C4" w14:textId="77777777" w:rsidR="000B1DD0" w:rsidRPr="001E70A0" w:rsidRDefault="002E0262">
            <w:pPr>
              <w:rPr>
                <w:lang w:val="fr-FR"/>
              </w:rPr>
            </w:pPr>
            <w:r w:rsidRPr="001E70A0">
              <w:rPr>
                <w:lang w:val="fr-FR"/>
              </w:rPr>
              <w:t>Évaluation et analyse des risques</w:t>
            </w:r>
          </w:p>
        </w:tc>
        <w:tc>
          <w:tcPr>
            <w:tcW w:w="6655" w:type="dxa"/>
          </w:tcPr>
          <w:p w14:paraId="5CCBF77D" w14:textId="77777777" w:rsidR="000B1DD0" w:rsidRPr="001E70A0" w:rsidRDefault="002E0262">
            <w:pPr>
              <w:pStyle w:val="ListParagraph"/>
              <w:numPr>
                <w:ilvl w:val="0"/>
                <w:numId w:val="8"/>
              </w:numPr>
              <w:rPr>
                <w:lang w:val="fr-FR"/>
              </w:rPr>
            </w:pPr>
            <w:r w:rsidRPr="001E70A0">
              <w:rPr>
                <w:lang w:val="fr-FR"/>
              </w:rPr>
              <w:t>Évaluer les risques co</w:t>
            </w:r>
            <w:r w:rsidRPr="001E70A0">
              <w:rPr>
                <w:lang w:val="fr-FR"/>
              </w:rPr>
              <w:t xml:space="preserve">ntextuels, programmatiques et institutionnels qui peuvent entraver la mise en œuvre du </w:t>
            </w:r>
            <w:r w:rsidR="00832510" w:rsidRPr="001E70A0">
              <w:rPr>
                <w:lang w:val="fr-FR"/>
              </w:rPr>
              <w:t>MBP</w:t>
            </w:r>
          </w:p>
        </w:tc>
      </w:tr>
      <w:tr w:rsidR="00EC756F" w:rsidRPr="001E70A0" w14:paraId="25F7281A" w14:textId="77777777" w:rsidTr="3C15609F">
        <w:tc>
          <w:tcPr>
            <w:tcW w:w="2695" w:type="dxa"/>
          </w:tcPr>
          <w:p w14:paraId="17E25499" w14:textId="77777777" w:rsidR="000B1DD0" w:rsidRPr="001E70A0" w:rsidRDefault="002E0262">
            <w:pPr>
              <w:rPr>
                <w:lang w:val="fr-FR"/>
              </w:rPr>
            </w:pPr>
            <w:r w:rsidRPr="001E70A0">
              <w:rPr>
                <w:lang w:val="fr-FR"/>
              </w:rPr>
              <w:t xml:space="preserve">Evaluation des capacités (partenaires du </w:t>
            </w:r>
            <w:r w:rsidR="005364C7" w:rsidRPr="001E70A0">
              <w:rPr>
                <w:lang w:val="fr-FR"/>
              </w:rPr>
              <w:t xml:space="preserve">cluster </w:t>
            </w:r>
            <w:r w:rsidRPr="001E70A0">
              <w:rPr>
                <w:lang w:val="fr-FR"/>
              </w:rPr>
              <w:t xml:space="preserve">et systèmes nationaux de protection sociale) </w:t>
            </w:r>
          </w:p>
        </w:tc>
        <w:tc>
          <w:tcPr>
            <w:tcW w:w="6655" w:type="dxa"/>
          </w:tcPr>
          <w:p w14:paraId="60D4316B" w14:textId="64DBD5F3" w:rsidR="000B1DD0" w:rsidRPr="001E70A0" w:rsidRDefault="002E0262">
            <w:pPr>
              <w:pStyle w:val="ListParagraph"/>
              <w:numPr>
                <w:ilvl w:val="0"/>
                <w:numId w:val="8"/>
              </w:numPr>
              <w:rPr>
                <w:lang w:val="fr-FR"/>
              </w:rPr>
            </w:pPr>
            <w:r w:rsidRPr="001E70A0">
              <w:rPr>
                <w:lang w:val="fr-FR"/>
              </w:rPr>
              <w:t xml:space="preserve">Déterminer si la capacité de mise en œuvre de la </w:t>
            </w:r>
            <w:r w:rsidR="0090126E">
              <w:rPr>
                <w:lang w:val="fr-FR"/>
              </w:rPr>
              <w:t>PMB</w:t>
            </w:r>
            <w:r w:rsidR="00832510" w:rsidRPr="001E70A0">
              <w:rPr>
                <w:lang w:val="fr-FR"/>
              </w:rPr>
              <w:t xml:space="preserve"> </w:t>
            </w:r>
            <w:r w:rsidRPr="001E70A0">
              <w:rPr>
                <w:lang w:val="fr-FR"/>
              </w:rPr>
              <w:t>existe au sein d</w:t>
            </w:r>
            <w:r w:rsidRPr="001E70A0">
              <w:rPr>
                <w:lang w:val="fr-FR"/>
              </w:rPr>
              <w:t xml:space="preserve">es organisations partenaires </w:t>
            </w:r>
            <w:r w:rsidR="005364C7" w:rsidRPr="001E70A0">
              <w:rPr>
                <w:lang w:val="fr-FR"/>
              </w:rPr>
              <w:t xml:space="preserve">ou du système national de protection sociale </w:t>
            </w:r>
            <w:r w:rsidRPr="001E70A0">
              <w:rPr>
                <w:lang w:val="fr-FR"/>
              </w:rPr>
              <w:t>et définir si des capacités et des ressources supplémentaires sont nécessaires et quand.</w:t>
            </w:r>
          </w:p>
        </w:tc>
      </w:tr>
    </w:tbl>
    <w:p w14:paraId="6DA11454" w14:textId="32AD399B" w:rsidR="00EC756F" w:rsidRPr="001E70A0" w:rsidRDefault="00EC756F" w:rsidP="00EC756F">
      <w:pPr>
        <w:spacing w:after="0"/>
        <w:rPr>
          <w:lang w:val="fr-FR"/>
        </w:rPr>
      </w:pPr>
    </w:p>
    <w:p w14:paraId="4778CCC8" w14:textId="2E3429FD" w:rsidR="000B1DD0" w:rsidRPr="001E70A0" w:rsidRDefault="002E0262">
      <w:pPr>
        <w:rPr>
          <w:lang w:val="fr-FR"/>
        </w:rPr>
      </w:pPr>
      <w:r w:rsidRPr="001E70A0">
        <w:rPr>
          <w:lang w:val="fr-FR"/>
        </w:rPr>
        <w:lastRenderedPageBreak/>
        <w:t xml:space="preserve">Si les </w:t>
      </w:r>
      <w:r w:rsidR="00725C96" w:rsidRPr="001E70A0">
        <w:rPr>
          <w:lang w:val="fr-FR"/>
        </w:rPr>
        <w:t xml:space="preserve">réponses </w:t>
      </w:r>
      <w:r w:rsidR="005D47D7" w:rsidRPr="001E70A0">
        <w:rPr>
          <w:lang w:val="fr-FR"/>
        </w:rPr>
        <w:t xml:space="preserve">aux questions ci-dessus montrent que </w:t>
      </w:r>
      <w:r w:rsidR="00725C96" w:rsidRPr="001E70A0">
        <w:rPr>
          <w:lang w:val="fr-FR"/>
        </w:rPr>
        <w:t>la</w:t>
      </w:r>
      <w:r w:rsidR="0069247E">
        <w:rPr>
          <w:lang w:val="fr-FR"/>
        </w:rPr>
        <w:t xml:space="preserve"> PBM </w:t>
      </w:r>
      <w:r w:rsidR="00725C96" w:rsidRPr="001E70A0">
        <w:rPr>
          <w:lang w:val="fr-FR"/>
        </w:rPr>
        <w:t xml:space="preserve">n'est pas réalisable </w:t>
      </w:r>
      <w:r w:rsidR="00BB2FA9" w:rsidRPr="001E70A0">
        <w:rPr>
          <w:lang w:val="fr-FR"/>
        </w:rPr>
        <w:t xml:space="preserve">et qu'aucune option de programme viable ne </w:t>
      </w:r>
      <w:r w:rsidR="001F0181" w:rsidRPr="001E70A0">
        <w:rPr>
          <w:lang w:val="fr-FR"/>
        </w:rPr>
        <w:t xml:space="preserve">peut </w:t>
      </w:r>
      <w:r w:rsidR="00BB2FA9" w:rsidRPr="001E70A0">
        <w:rPr>
          <w:lang w:val="fr-FR"/>
        </w:rPr>
        <w:t>être identifiée</w:t>
      </w:r>
      <w:r w:rsidRPr="001E70A0">
        <w:rPr>
          <w:lang w:val="fr-FR"/>
        </w:rPr>
        <w:t xml:space="preserve">, il est conseillé au </w:t>
      </w:r>
      <w:r w:rsidR="004A283C" w:rsidRPr="001E70A0">
        <w:rPr>
          <w:lang w:val="fr-FR"/>
        </w:rPr>
        <w:t xml:space="preserve">cluster de </w:t>
      </w:r>
      <w:r w:rsidRPr="001E70A0">
        <w:rPr>
          <w:lang w:val="fr-FR"/>
        </w:rPr>
        <w:t xml:space="preserve">revenir à la </w:t>
      </w:r>
      <w:r w:rsidR="003A1EC0" w:rsidRPr="001E70A0">
        <w:rPr>
          <w:lang w:val="fr-FR"/>
        </w:rPr>
        <w:t>modalité d'assistance directe (</w:t>
      </w:r>
      <w:r w:rsidRPr="001E70A0">
        <w:rPr>
          <w:lang w:val="fr-FR"/>
        </w:rPr>
        <w:t xml:space="preserve">en nature et </w:t>
      </w:r>
      <w:r w:rsidR="003A1EC0" w:rsidRPr="001E70A0">
        <w:rPr>
          <w:lang w:val="fr-FR"/>
        </w:rPr>
        <w:t>fourniture de</w:t>
      </w:r>
      <w:r w:rsidRPr="001E70A0">
        <w:rPr>
          <w:lang w:val="fr-FR"/>
        </w:rPr>
        <w:t xml:space="preserve"> services).</w:t>
      </w:r>
    </w:p>
    <w:p w14:paraId="0054F89D" w14:textId="4F258F20" w:rsidR="000B1DD0" w:rsidRPr="001E70A0" w:rsidRDefault="002E0262">
      <w:pPr>
        <w:pStyle w:val="ListParagraph"/>
        <w:numPr>
          <w:ilvl w:val="0"/>
          <w:numId w:val="1"/>
        </w:numPr>
        <w:rPr>
          <w:b/>
          <w:bCs/>
          <w:lang w:val="fr-FR"/>
        </w:rPr>
      </w:pPr>
      <w:r w:rsidRPr="001E70A0">
        <w:rPr>
          <w:b/>
          <w:bCs/>
          <w:lang w:val="fr-FR"/>
        </w:rPr>
        <w:t xml:space="preserve">Identifier et mettre en place des mécanismes et des procédures (y compris des accords signés avec des partenaires) pour soutenir la mise en œuvre de la </w:t>
      </w:r>
      <w:r w:rsidR="0090126E">
        <w:rPr>
          <w:b/>
          <w:bCs/>
          <w:lang w:val="fr-FR"/>
        </w:rPr>
        <w:t>PBM</w:t>
      </w:r>
      <w:r w:rsidR="00DB6879" w:rsidRPr="001E70A0">
        <w:rPr>
          <w:b/>
          <w:bCs/>
          <w:lang w:val="fr-FR"/>
        </w:rPr>
        <w:t>.</w:t>
      </w:r>
    </w:p>
    <w:p w14:paraId="56D25E59" w14:textId="77777777" w:rsidR="000B1DD0" w:rsidRPr="001E70A0" w:rsidRDefault="002E0262">
      <w:pPr>
        <w:rPr>
          <w:lang w:val="fr-FR"/>
        </w:rPr>
      </w:pPr>
      <w:r w:rsidRPr="001E70A0">
        <w:rPr>
          <w:lang w:val="fr-FR"/>
        </w:rPr>
        <w:t xml:space="preserve">Sur la base des options identifiées à l'étape A ci-dessus, les </w:t>
      </w:r>
      <w:r w:rsidR="00123D03" w:rsidRPr="001E70A0">
        <w:rPr>
          <w:lang w:val="fr-FR"/>
        </w:rPr>
        <w:t>mesures suivantes doivent être mises en œuvre :</w:t>
      </w:r>
    </w:p>
    <w:p w14:paraId="5F7A68D4" w14:textId="11716F7A" w:rsidR="000B1DD0" w:rsidRPr="001E70A0" w:rsidRDefault="00123D03">
      <w:pPr>
        <w:pStyle w:val="ListParagraph"/>
        <w:numPr>
          <w:ilvl w:val="0"/>
          <w:numId w:val="4"/>
        </w:numPr>
        <w:rPr>
          <w:lang w:val="fr-FR"/>
        </w:rPr>
      </w:pPr>
      <w:r w:rsidRPr="001E70A0">
        <w:rPr>
          <w:lang w:val="fr-FR"/>
        </w:rPr>
        <w:t>Les besoins d'apprentissage d</w:t>
      </w:r>
      <w:r w:rsidR="0090126E">
        <w:rPr>
          <w:lang w:val="fr-FR"/>
        </w:rPr>
        <w:t xml:space="preserve">e la PBM </w:t>
      </w:r>
      <w:r w:rsidRPr="001E70A0">
        <w:rPr>
          <w:lang w:val="fr-FR"/>
        </w:rPr>
        <w:t xml:space="preserve">sont inclus dans les plans d'apprentissage du </w:t>
      </w:r>
      <w:r w:rsidR="00B736F4" w:rsidRPr="001E70A0">
        <w:rPr>
          <w:lang w:val="fr-FR"/>
        </w:rPr>
        <w:t xml:space="preserve">cluster et la </w:t>
      </w:r>
      <w:r w:rsidR="00EB0562" w:rsidRPr="001E70A0">
        <w:rPr>
          <w:lang w:val="fr-FR"/>
        </w:rPr>
        <w:t xml:space="preserve">capacité des </w:t>
      </w:r>
      <w:r w:rsidR="00B736F4" w:rsidRPr="001E70A0">
        <w:rPr>
          <w:lang w:val="fr-FR"/>
        </w:rPr>
        <w:t xml:space="preserve">partenaires </w:t>
      </w:r>
      <w:r w:rsidR="00EB0562" w:rsidRPr="001E70A0">
        <w:rPr>
          <w:lang w:val="fr-FR"/>
        </w:rPr>
        <w:t xml:space="preserve">est renforcée </w:t>
      </w:r>
      <w:r w:rsidRPr="001E70A0">
        <w:rPr>
          <w:lang w:val="fr-FR"/>
        </w:rPr>
        <w:t>;</w:t>
      </w:r>
    </w:p>
    <w:p w14:paraId="761475D6" w14:textId="77777777" w:rsidR="000B1DD0" w:rsidRPr="001E70A0" w:rsidRDefault="007568AA">
      <w:pPr>
        <w:pStyle w:val="ListParagraph"/>
        <w:numPr>
          <w:ilvl w:val="0"/>
          <w:numId w:val="4"/>
        </w:numPr>
        <w:rPr>
          <w:lang w:val="fr-FR"/>
        </w:rPr>
      </w:pPr>
      <w:r w:rsidRPr="001E70A0">
        <w:rPr>
          <w:lang w:val="fr-FR"/>
        </w:rPr>
        <w:t xml:space="preserve">Les partenaires du </w:t>
      </w:r>
      <w:r w:rsidR="002E0262" w:rsidRPr="001E70A0">
        <w:rPr>
          <w:lang w:val="fr-FR"/>
        </w:rPr>
        <w:t xml:space="preserve">cluster </w:t>
      </w:r>
      <w:r w:rsidRPr="001E70A0">
        <w:rPr>
          <w:lang w:val="fr-FR"/>
        </w:rPr>
        <w:t>lancent des processus de passation de marchés pour les fournisseurs de services financiers identifiés et des accords-cadres sont signés avec eux</w:t>
      </w:r>
      <w:r w:rsidR="00EB0562" w:rsidRPr="001E70A0">
        <w:rPr>
          <w:lang w:val="fr-FR"/>
        </w:rPr>
        <w:t xml:space="preserve">. La boîte à outils qualité du programme </w:t>
      </w:r>
      <w:proofErr w:type="spellStart"/>
      <w:r w:rsidR="00EB0562" w:rsidRPr="001E70A0">
        <w:rPr>
          <w:lang w:val="fr-FR"/>
        </w:rPr>
        <w:t>CaLP</w:t>
      </w:r>
      <w:proofErr w:type="spellEnd"/>
      <w:r w:rsidR="00EB0562" w:rsidRPr="001E70A0">
        <w:rPr>
          <w:lang w:val="fr-FR"/>
        </w:rPr>
        <w:t xml:space="preserve"> offre un certain nombre de </w:t>
      </w:r>
      <w:hyperlink r:id="rId18" w:history="1">
        <w:r w:rsidR="00EB0562" w:rsidRPr="001E70A0">
          <w:rPr>
            <w:rStyle w:val="Hyperlink"/>
            <w:lang w:val="fr-FR"/>
          </w:rPr>
          <w:t>ressources</w:t>
        </w:r>
      </w:hyperlink>
      <w:r w:rsidRPr="001E70A0">
        <w:rPr>
          <w:lang w:val="fr-FR"/>
        </w:rPr>
        <w:t xml:space="preserve"> ;</w:t>
      </w:r>
    </w:p>
    <w:p w14:paraId="09F9975E" w14:textId="7EB10132" w:rsidR="000B1DD0" w:rsidRPr="001E70A0" w:rsidRDefault="002E0262">
      <w:pPr>
        <w:pStyle w:val="ListParagraph"/>
        <w:numPr>
          <w:ilvl w:val="0"/>
          <w:numId w:val="4"/>
        </w:numPr>
        <w:rPr>
          <w:lang w:val="fr-FR"/>
        </w:rPr>
      </w:pPr>
      <w:r w:rsidRPr="001E70A0">
        <w:rPr>
          <w:lang w:val="fr-FR"/>
        </w:rPr>
        <w:t>Le Cluster travaille en étroi</w:t>
      </w:r>
      <w:r w:rsidRPr="001E70A0">
        <w:rPr>
          <w:lang w:val="fr-FR"/>
        </w:rPr>
        <w:t xml:space="preserve">te collaboration avec le Groupe de Travail Cash (là où il existe) et avec </w:t>
      </w:r>
      <w:r w:rsidR="0090126E">
        <w:rPr>
          <w:lang w:val="fr-FR"/>
        </w:rPr>
        <w:t>le groupe intersectoriel</w:t>
      </w:r>
      <w:r w:rsidRPr="001E70A0">
        <w:rPr>
          <w:lang w:val="fr-FR"/>
        </w:rPr>
        <w:t xml:space="preserve"> pour coordonner la préparation à </w:t>
      </w:r>
      <w:r w:rsidR="0090126E">
        <w:rPr>
          <w:lang w:val="fr-FR"/>
        </w:rPr>
        <w:t>l’utilisation des transferts monétaires et bon d’achats</w:t>
      </w:r>
      <w:r w:rsidR="00F6659C" w:rsidRPr="001E70A0">
        <w:rPr>
          <w:lang w:val="fr-FR"/>
        </w:rPr>
        <w:t xml:space="preserve">. Le cluster se concentre sur la coordination de la préparation sectorielle </w:t>
      </w:r>
      <w:r w:rsidR="0090126E">
        <w:rPr>
          <w:lang w:val="fr-FR"/>
        </w:rPr>
        <w:t>cash</w:t>
      </w:r>
      <w:r w:rsidR="00F6659C" w:rsidRPr="001E70A0">
        <w:rPr>
          <w:lang w:val="fr-FR"/>
        </w:rPr>
        <w:t xml:space="preserve"> et au soutien au marché, tandis que le </w:t>
      </w:r>
      <w:r w:rsidR="0090126E">
        <w:rPr>
          <w:lang w:val="fr-FR"/>
        </w:rPr>
        <w:t>groupe de travail cash</w:t>
      </w:r>
      <w:r w:rsidR="00F6659C" w:rsidRPr="001E70A0">
        <w:rPr>
          <w:lang w:val="fr-FR"/>
        </w:rPr>
        <w:t xml:space="preserve"> et </w:t>
      </w:r>
      <w:r w:rsidR="0090126E">
        <w:rPr>
          <w:lang w:val="fr-FR"/>
        </w:rPr>
        <w:t>le groupe intersectoriel</w:t>
      </w:r>
      <w:r w:rsidR="0090126E" w:rsidRPr="001E70A0">
        <w:rPr>
          <w:lang w:val="fr-FR"/>
        </w:rPr>
        <w:t xml:space="preserve"> </w:t>
      </w:r>
      <w:r w:rsidR="00F6659C" w:rsidRPr="001E70A0">
        <w:rPr>
          <w:lang w:val="fr-FR"/>
        </w:rPr>
        <w:t xml:space="preserve">se concentrent sur la préparation multisectorielle et sur les éléments de faisabilité tels que l'acceptation de </w:t>
      </w:r>
      <w:r w:rsidR="0090126E">
        <w:rPr>
          <w:lang w:val="fr-FR"/>
        </w:rPr>
        <w:t>l’utilisation des transferts monétaires et bon d’achats</w:t>
      </w:r>
      <w:r w:rsidR="00F6659C" w:rsidRPr="001E70A0">
        <w:rPr>
          <w:lang w:val="fr-FR"/>
        </w:rPr>
        <w:t>, l'évaluation des prestataires de services financiers, l'évaluation des risques, l'évaluation des capacités.</w:t>
      </w:r>
    </w:p>
    <w:sectPr w:rsidR="000B1DD0" w:rsidRPr="001E70A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11BAA" w14:textId="77777777" w:rsidR="004675A1" w:rsidRDefault="004675A1" w:rsidP="008807F7">
      <w:pPr>
        <w:spacing w:after="0" w:line="240" w:lineRule="auto"/>
      </w:pPr>
      <w:r>
        <w:separator/>
      </w:r>
    </w:p>
  </w:endnote>
  <w:endnote w:type="continuationSeparator" w:id="0">
    <w:p w14:paraId="0204585E" w14:textId="77777777" w:rsidR="004675A1" w:rsidRDefault="004675A1" w:rsidP="0088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261575"/>
      <w:docPartObj>
        <w:docPartGallery w:val="Page Numbers (Bottom of Page)"/>
        <w:docPartUnique/>
      </w:docPartObj>
    </w:sdtPr>
    <w:sdtEndPr>
      <w:rPr>
        <w:noProof/>
      </w:rPr>
    </w:sdtEndPr>
    <w:sdtContent>
      <w:p w14:paraId="17737A13" w14:textId="77777777" w:rsidR="000B1DD0" w:rsidRDefault="002E0262">
        <w:pPr>
          <w:pStyle w:val="Footer"/>
          <w:jc w:val="right"/>
        </w:pPr>
        <w:r>
          <w:fldChar w:fldCharType="begin"/>
        </w:r>
        <w:r>
          <w:instrText xml:space="preserve"> PAGE   \* MERGEFORMAT</w:instrText>
        </w:r>
        <w:r>
          <w:instrText xml:space="preserve"> </w:instrText>
        </w:r>
        <w:r>
          <w:fldChar w:fldCharType="separate"/>
        </w:r>
        <w:r>
          <w:rPr>
            <w:noProof/>
          </w:rPr>
          <w:t>2</w:t>
        </w:r>
        <w:r>
          <w:rPr>
            <w:noProof/>
          </w:rPr>
          <w:fldChar w:fldCharType="end"/>
        </w:r>
      </w:p>
    </w:sdtContent>
  </w:sdt>
  <w:p w14:paraId="28698BD6" w14:textId="77777777" w:rsidR="008807F7" w:rsidRDefault="0088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8EBBA" w14:textId="77777777" w:rsidR="004675A1" w:rsidRDefault="004675A1" w:rsidP="008807F7">
      <w:pPr>
        <w:spacing w:after="0" w:line="240" w:lineRule="auto"/>
      </w:pPr>
      <w:r>
        <w:separator/>
      </w:r>
    </w:p>
  </w:footnote>
  <w:footnote w:type="continuationSeparator" w:id="0">
    <w:p w14:paraId="1706B2AE" w14:textId="77777777" w:rsidR="004675A1" w:rsidRDefault="004675A1" w:rsidP="0088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E4CB" w14:textId="49413EA3" w:rsidR="008807F7" w:rsidRDefault="0088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C7B"/>
    <w:multiLevelType w:val="hybridMultilevel"/>
    <w:tmpl w:val="E9306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D7C4D"/>
    <w:multiLevelType w:val="hybridMultilevel"/>
    <w:tmpl w:val="D7E6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69BD"/>
    <w:multiLevelType w:val="hybridMultilevel"/>
    <w:tmpl w:val="E97C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172A2"/>
    <w:multiLevelType w:val="hybridMultilevel"/>
    <w:tmpl w:val="02D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84B7A"/>
    <w:multiLevelType w:val="hybridMultilevel"/>
    <w:tmpl w:val="94029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75DE4"/>
    <w:multiLevelType w:val="hybridMultilevel"/>
    <w:tmpl w:val="9C6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86D93"/>
    <w:multiLevelType w:val="hybridMultilevel"/>
    <w:tmpl w:val="D8D0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161AE"/>
    <w:multiLevelType w:val="hybridMultilevel"/>
    <w:tmpl w:val="1D10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5"/>
    <w:rsid w:val="00006001"/>
    <w:rsid w:val="000428E1"/>
    <w:rsid w:val="000575AC"/>
    <w:rsid w:val="00087706"/>
    <w:rsid w:val="000B1DD0"/>
    <w:rsid w:val="00123D03"/>
    <w:rsid w:val="00182358"/>
    <w:rsid w:val="001836B7"/>
    <w:rsid w:val="001A5442"/>
    <w:rsid w:val="001B3E8D"/>
    <w:rsid w:val="001D5529"/>
    <w:rsid w:val="001E70A0"/>
    <w:rsid w:val="001F0181"/>
    <w:rsid w:val="002253F2"/>
    <w:rsid w:val="00235908"/>
    <w:rsid w:val="0025407D"/>
    <w:rsid w:val="002C235C"/>
    <w:rsid w:val="002C5179"/>
    <w:rsid w:val="002E0262"/>
    <w:rsid w:val="002E4E9F"/>
    <w:rsid w:val="00313FCE"/>
    <w:rsid w:val="003A1EC0"/>
    <w:rsid w:val="003B24A3"/>
    <w:rsid w:val="003B4195"/>
    <w:rsid w:val="003D5B56"/>
    <w:rsid w:val="00407EC0"/>
    <w:rsid w:val="004675A1"/>
    <w:rsid w:val="004A283C"/>
    <w:rsid w:val="004B44DF"/>
    <w:rsid w:val="0050058F"/>
    <w:rsid w:val="00507086"/>
    <w:rsid w:val="005364C7"/>
    <w:rsid w:val="005D47D7"/>
    <w:rsid w:val="0060426D"/>
    <w:rsid w:val="00650AA1"/>
    <w:rsid w:val="00670104"/>
    <w:rsid w:val="00684094"/>
    <w:rsid w:val="0069247E"/>
    <w:rsid w:val="006D7CCD"/>
    <w:rsid w:val="00707445"/>
    <w:rsid w:val="00725C96"/>
    <w:rsid w:val="00750D0A"/>
    <w:rsid w:val="0075329E"/>
    <w:rsid w:val="00754892"/>
    <w:rsid w:val="007568AA"/>
    <w:rsid w:val="0077737A"/>
    <w:rsid w:val="007F4E95"/>
    <w:rsid w:val="00807BF2"/>
    <w:rsid w:val="00816477"/>
    <w:rsid w:val="00826906"/>
    <w:rsid w:val="00826FC2"/>
    <w:rsid w:val="00832510"/>
    <w:rsid w:val="008563E2"/>
    <w:rsid w:val="008807F7"/>
    <w:rsid w:val="00896A8A"/>
    <w:rsid w:val="0090126E"/>
    <w:rsid w:val="00923F38"/>
    <w:rsid w:val="009C2031"/>
    <w:rsid w:val="009E024E"/>
    <w:rsid w:val="00AB2615"/>
    <w:rsid w:val="00AE7FF1"/>
    <w:rsid w:val="00B165A6"/>
    <w:rsid w:val="00B30F20"/>
    <w:rsid w:val="00B736F4"/>
    <w:rsid w:val="00BA2EB6"/>
    <w:rsid w:val="00BB2FA9"/>
    <w:rsid w:val="00BD7A63"/>
    <w:rsid w:val="00BF5094"/>
    <w:rsid w:val="00BF5865"/>
    <w:rsid w:val="00C0708E"/>
    <w:rsid w:val="00C62CE7"/>
    <w:rsid w:val="00C73B59"/>
    <w:rsid w:val="00C82A84"/>
    <w:rsid w:val="00C82DC9"/>
    <w:rsid w:val="00CD1B35"/>
    <w:rsid w:val="00D500D7"/>
    <w:rsid w:val="00D8123B"/>
    <w:rsid w:val="00DA7762"/>
    <w:rsid w:val="00DB6879"/>
    <w:rsid w:val="00DC3D27"/>
    <w:rsid w:val="00DD4E94"/>
    <w:rsid w:val="00E06C13"/>
    <w:rsid w:val="00E1685C"/>
    <w:rsid w:val="00E21346"/>
    <w:rsid w:val="00E33DE7"/>
    <w:rsid w:val="00E413C1"/>
    <w:rsid w:val="00EA7E07"/>
    <w:rsid w:val="00EB0562"/>
    <w:rsid w:val="00EC756F"/>
    <w:rsid w:val="00F10B76"/>
    <w:rsid w:val="00F110FA"/>
    <w:rsid w:val="00F216FA"/>
    <w:rsid w:val="00F3677C"/>
    <w:rsid w:val="00F533B2"/>
    <w:rsid w:val="00F6659C"/>
    <w:rsid w:val="00FA0F2F"/>
    <w:rsid w:val="00FE2520"/>
    <w:rsid w:val="00FE41DA"/>
    <w:rsid w:val="3C15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C93A5"/>
  <w15:chartTrackingRefBased/>
  <w15:docId w15:val="{450E1BBC-B1CE-495C-B5F4-01870E8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AC"/>
    <w:pPr>
      <w:ind w:left="720"/>
      <w:contextualSpacing/>
    </w:pPr>
  </w:style>
  <w:style w:type="character" w:styleId="Hyperlink">
    <w:name w:val="Hyperlink"/>
    <w:basedOn w:val="DefaultParagraphFont"/>
    <w:uiPriority w:val="99"/>
    <w:unhideWhenUsed/>
    <w:rsid w:val="00B165A6"/>
    <w:rPr>
      <w:color w:val="0563C1" w:themeColor="hyperlink"/>
      <w:u w:val="single"/>
    </w:rPr>
  </w:style>
  <w:style w:type="character" w:styleId="UnresolvedMention">
    <w:name w:val="Unresolved Mention"/>
    <w:basedOn w:val="DefaultParagraphFont"/>
    <w:uiPriority w:val="99"/>
    <w:semiHidden/>
    <w:unhideWhenUsed/>
    <w:rsid w:val="00B165A6"/>
    <w:rPr>
      <w:color w:val="605E5C"/>
      <w:shd w:val="clear" w:color="auto" w:fill="E1DFDD"/>
    </w:rPr>
  </w:style>
  <w:style w:type="paragraph" w:styleId="Header">
    <w:name w:val="header"/>
    <w:basedOn w:val="Normal"/>
    <w:link w:val="HeaderChar"/>
    <w:uiPriority w:val="99"/>
    <w:unhideWhenUsed/>
    <w:rsid w:val="00880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7F7"/>
  </w:style>
  <w:style w:type="paragraph" w:styleId="Footer">
    <w:name w:val="footer"/>
    <w:basedOn w:val="Normal"/>
    <w:link w:val="FooterChar"/>
    <w:uiPriority w:val="99"/>
    <w:unhideWhenUsed/>
    <w:rsid w:val="00880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7F7"/>
  </w:style>
  <w:style w:type="table" w:styleId="TableGrid">
    <w:name w:val="Table Grid"/>
    <w:basedOn w:val="TableNormal"/>
    <w:uiPriority w:val="39"/>
    <w:rsid w:val="00EC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mma-toolkit.org/sites/default/files/bundle/PMCA_FINAL_WEB.pdf" TargetMode="External"/><Relationship Id="rId18" Type="http://schemas.openxmlformats.org/officeDocument/2006/relationships/hyperlink" Target="https://www.calpnetwork.org/toolset/partnership-preparedn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alpnetwork.org/publication/the-delivery-guide-scoping-the-humanitarian-payments-landscape/" TargetMode="External"/><Relationship Id="rId2" Type="http://schemas.openxmlformats.org/officeDocument/2006/relationships/customXml" Target="../customXml/item2.xml"/><Relationship Id="rId16" Type="http://schemas.openxmlformats.org/officeDocument/2006/relationships/hyperlink" Target="https://www.calpnetwork.org/publication/the-delivery-guide-scoping-the-humanitarian-payments-landsca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alpnetwork.org/publication/the-delivery-guide-scoping-the-humanitarian-payments-landscap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crc.org/en/doc/assets/files/publications/icrc-002-420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EMOPSGCCU-1076225054-125396</_dlc_DocId>
    <TaxCatchAll xmlns="ca283e0b-db31-4043-a2ef-b80661bf084a">
      <Value>821</Value>
      <Value>3</Value>
    </TaxCatchAll>
    <_dlc_DocIdUrl xmlns="5858627f-d058-4b92-9b52-677b5fd7d454">
      <Url>https://unicef.sharepoint.com/teams/EMOPS-GCCU/_layouts/15/DocIdRedir.aspx?ID=EMOPSGCCU-1076225054-125396</Url>
      <Description>EMOPSGCCU-1076225054-125396</Description>
    </_dlc_DocIdUrl>
    <ContentLanguage xmlns="ca283e0b-db31-4043-a2ef-b80661bf084a">English</ContentLanguage>
    <SemaphoreItemMetadata xmlns="5858627f-d058-4b92-9b52-677b5fd7d454"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docId:C315C24AD5C1DECCD8296086602744C7</TermName>
          <TermId xmlns="http://schemas.microsoft.com/office/infopath/2007/PartnerControls">a77b2bab-79c6-4856-bf38-0c558f4551d9</TermId>
        </TermInfo>
      </Term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311D8D-3C85-4371-B06D-F205A5368F3E}">
  <ds:schemaRefs>
    <ds:schemaRef ds:uri="http://schemas.microsoft.com/office/2006/metadata/customXsn"/>
  </ds:schemaRefs>
</ds:datastoreItem>
</file>

<file path=customXml/itemProps2.xml><?xml version="1.0" encoding="utf-8"?>
<ds:datastoreItem xmlns:ds="http://schemas.openxmlformats.org/officeDocument/2006/customXml" ds:itemID="{30C988BC-CF01-42E8-8552-406C310FBF0A}">
  <ds:schemaRefs>
    <ds:schemaRef ds:uri="Microsoft.SharePoint.Taxonomy.ContentTypeSync"/>
  </ds:schemaRefs>
</ds:datastoreItem>
</file>

<file path=customXml/itemProps3.xml><?xml version="1.0" encoding="utf-8"?>
<ds:datastoreItem xmlns:ds="http://schemas.openxmlformats.org/officeDocument/2006/customXml" ds:itemID="{FC0AC66D-B3BE-4D77-AA24-CC02779610E6}">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6C5CAEF-51B4-40AB-B781-84856884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0337eace-5501-4d9d-ab80-dcb38b45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55516C-4838-417E-B90D-625D358A6DB2}">
  <ds:schemaRefs>
    <ds:schemaRef ds:uri="http://schemas.microsoft.com/sharepoint/v3/contenttype/forms"/>
  </ds:schemaRefs>
</ds:datastoreItem>
</file>

<file path=customXml/itemProps6.xml><?xml version="1.0" encoding="utf-8"?>
<ds:datastoreItem xmlns:ds="http://schemas.openxmlformats.org/officeDocument/2006/customXml" ds:itemID="{0E00F26E-EE69-419D-BC56-25C06906BF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761</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Truhlarova Cristescu</dc:creator>
  <cp:keywords>, docId:C315C24AD5C1DECCD8296086602744C7</cp:keywords>
  <dc:description/>
  <cp:lastModifiedBy>Julie Bara</cp:lastModifiedBy>
  <cp:revision>26</cp:revision>
  <cp:lastPrinted>2022-02-22T13:59:00Z</cp:lastPrinted>
  <dcterms:created xsi:type="dcterms:W3CDTF">2022-04-27T10:15:00Z</dcterms:created>
  <dcterms:modified xsi:type="dcterms:W3CDTF">2022-04-27T14:15:00Z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0x0101009BA85F8052A6DA4FA3E31FF9F74C69700070C0DFB21998F24CB43F3479CB9B9F89</vt:lpwstr>
  </property>
  <property fmtid="{D5CDD505-2E9C-101B-9397-08002B2CF9AE}" pid="3" name="OfficeDivision">
    <vt:lpwstr>3;#Office of Emergency Prog.-456F|98de697e-6403-48a0-9bce-654c90399d04</vt:lpwstr>
  </property>
  <property fmtid="{D5CDD505-2E9C-101B-9397-08002B2CF9AE}" pid="4" name="_dlc_DocIdItemGuid">
    <vt:lpwstr>61d4fccb-3990-4904-9b6b-524e8cf189cc</vt:lpwstr>
  </property>
  <property fmtid="{D5CDD505-2E9C-101B-9397-08002B2CF9AE}" pid="5" name="TaxKeyword">
    <vt:lpwstr>821;#docId:C315C24AD5C1DECCD8296086602744C7|a77b2bab-79c6-4856-bf38-0c558f4551d9</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