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2EE54" w14:textId="3374FE3E" w:rsidR="004A3605" w:rsidRDefault="00C50229" w:rsidP="005A38A1">
      <w:pPr>
        <w:spacing w:after="0"/>
        <w:jc w:val="center"/>
        <w:rPr>
          <w:rFonts w:ascii="Arial" w:hAnsi="Arial" w:cs="Arial"/>
          <w:b/>
        </w:rPr>
      </w:pPr>
      <w:bookmarkStart w:id="0" w:name="_GoBack"/>
      <w:bookmarkEnd w:id="0"/>
      <w:r w:rsidRPr="004961F8">
        <w:rPr>
          <w:rFonts w:ascii="Arial" w:hAnsi="Arial" w:cs="Arial"/>
          <w:b/>
        </w:rPr>
        <w:t xml:space="preserve">Central Emergency Response Fund CERF - </w:t>
      </w:r>
      <w:r w:rsidR="00675387" w:rsidRPr="004961F8">
        <w:rPr>
          <w:rFonts w:ascii="Arial" w:hAnsi="Arial" w:cs="Arial"/>
          <w:b/>
        </w:rPr>
        <w:t>Guidance</w:t>
      </w:r>
      <w:r w:rsidR="00404E2F" w:rsidRPr="004961F8">
        <w:rPr>
          <w:rFonts w:ascii="Arial" w:hAnsi="Arial" w:cs="Arial"/>
          <w:b/>
        </w:rPr>
        <w:t xml:space="preserve"> Note for COs and R</w:t>
      </w:r>
      <w:r w:rsidR="00816E64" w:rsidRPr="004961F8">
        <w:rPr>
          <w:rFonts w:ascii="Arial" w:hAnsi="Arial" w:cs="Arial"/>
          <w:b/>
        </w:rPr>
        <w:t>Os</w:t>
      </w:r>
      <w:r w:rsidR="00675387" w:rsidRPr="004961F8">
        <w:rPr>
          <w:rFonts w:ascii="Arial" w:hAnsi="Arial" w:cs="Arial"/>
          <w:b/>
        </w:rPr>
        <w:t xml:space="preserve"> on </w:t>
      </w:r>
      <w:r w:rsidR="003B0F71" w:rsidRPr="004961F8">
        <w:rPr>
          <w:rFonts w:ascii="Arial" w:hAnsi="Arial" w:cs="Arial"/>
          <w:b/>
        </w:rPr>
        <w:t>Key Issues</w:t>
      </w:r>
    </w:p>
    <w:p w14:paraId="16BCB9B1" w14:textId="77777777" w:rsidR="00CC6D4A" w:rsidRPr="004961F8" w:rsidRDefault="00CC6D4A" w:rsidP="005A38A1">
      <w:pPr>
        <w:spacing w:after="0"/>
        <w:jc w:val="center"/>
        <w:rPr>
          <w:rFonts w:ascii="Arial" w:hAnsi="Arial" w:cs="Arial"/>
          <w:b/>
        </w:rPr>
      </w:pPr>
    </w:p>
    <w:p w14:paraId="542FBD7C" w14:textId="77777777" w:rsidR="00AB5803" w:rsidRPr="004961F8" w:rsidRDefault="00082E12" w:rsidP="0087563B">
      <w:pPr>
        <w:spacing w:after="0"/>
        <w:rPr>
          <w:rFonts w:ascii="Arial" w:hAnsi="Arial" w:cs="Arial"/>
          <w:sz w:val="20"/>
          <w:szCs w:val="20"/>
        </w:rPr>
      </w:pPr>
      <w:r w:rsidRPr="004961F8">
        <w:rPr>
          <w:rStyle w:val="A10"/>
          <w:rFonts w:ascii="Arial" w:hAnsi="Arial" w:cs="Arial"/>
        </w:rPr>
        <w:t xml:space="preserve">This note (developed by EMOPS, PARMO, DFAM) outlines key changes </w:t>
      </w:r>
      <w:r w:rsidR="005D3BA5" w:rsidRPr="004961F8">
        <w:rPr>
          <w:rStyle w:val="A10"/>
          <w:rFonts w:ascii="Arial" w:hAnsi="Arial" w:cs="Arial"/>
        </w:rPr>
        <w:t xml:space="preserve">for CERF that will have </w:t>
      </w:r>
      <w:r w:rsidR="006E4313" w:rsidRPr="004961F8">
        <w:rPr>
          <w:rStyle w:val="A10"/>
          <w:rFonts w:ascii="Arial" w:hAnsi="Arial" w:cs="Arial"/>
        </w:rPr>
        <w:t>implications</w:t>
      </w:r>
      <w:r w:rsidR="005D3BA5" w:rsidRPr="004961F8">
        <w:rPr>
          <w:rStyle w:val="A10"/>
          <w:rFonts w:ascii="Arial" w:hAnsi="Arial" w:cs="Arial"/>
        </w:rPr>
        <w:t xml:space="preserve"> for Country Offices </w:t>
      </w:r>
      <w:r w:rsidR="004860EE" w:rsidRPr="004961F8">
        <w:rPr>
          <w:rStyle w:val="A10"/>
          <w:rFonts w:ascii="Arial" w:hAnsi="Arial" w:cs="Arial"/>
        </w:rPr>
        <w:t xml:space="preserve">- </w:t>
      </w:r>
      <w:r w:rsidRPr="004961F8">
        <w:rPr>
          <w:rStyle w:val="A10"/>
          <w:rFonts w:ascii="Arial" w:hAnsi="Arial" w:cs="Arial"/>
        </w:rPr>
        <w:t xml:space="preserve">including </w:t>
      </w:r>
      <w:r w:rsidR="008242CE" w:rsidRPr="004961F8">
        <w:rPr>
          <w:rStyle w:val="A10"/>
          <w:rFonts w:ascii="Arial" w:hAnsi="Arial" w:cs="Arial"/>
        </w:rPr>
        <w:t xml:space="preserve">guidance of the revisions that took place due to the </w:t>
      </w:r>
      <w:r w:rsidR="004860EE" w:rsidRPr="004961F8">
        <w:rPr>
          <w:rStyle w:val="A10"/>
          <w:rFonts w:ascii="Arial" w:hAnsi="Arial" w:cs="Arial"/>
        </w:rPr>
        <w:t>Umbrella Letter of Understanding (LoU) between Central Emergency Response Fund (CERF</w:t>
      </w:r>
      <w:r w:rsidR="00CF15F1" w:rsidRPr="004961F8">
        <w:rPr>
          <w:rStyle w:val="A10"/>
          <w:rFonts w:ascii="Arial" w:hAnsi="Arial" w:cs="Arial"/>
        </w:rPr>
        <w:t>)</w:t>
      </w:r>
      <w:r w:rsidRPr="004961F8">
        <w:rPr>
          <w:rStyle w:val="A10"/>
          <w:rFonts w:ascii="Arial" w:hAnsi="Arial" w:cs="Arial"/>
        </w:rPr>
        <w:t xml:space="preserve">, and the impact on UNICEF programmes and procedures.   The provisions apply to both Rapid Response Grants, as well as the Under-Funded Emergencies Grants unless otherwise stipulated below.  </w:t>
      </w:r>
      <w:r w:rsidR="00AB5803" w:rsidRPr="004961F8">
        <w:rPr>
          <w:rStyle w:val="A10"/>
          <w:rFonts w:ascii="Arial" w:hAnsi="Arial" w:cs="Arial"/>
        </w:rPr>
        <w:t>Please also refer to the revised Secretary General’s Bulletin on CERF (</w:t>
      </w:r>
      <w:hyperlink r:id="rId11" w:history="1">
        <w:r w:rsidR="00AB5803" w:rsidRPr="004961F8">
          <w:rPr>
            <w:rStyle w:val="Hyperlink"/>
            <w:rFonts w:ascii="Arial" w:hAnsi="Arial" w:cs="Arial"/>
            <w:sz w:val="20"/>
            <w:szCs w:val="20"/>
          </w:rPr>
          <w:t>ST/SGB/2010/5</w:t>
        </w:r>
      </w:hyperlink>
      <w:r w:rsidR="004860EE" w:rsidRPr="004961F8">
        <w:rPr>
          <w:rFonts w:ascii="Arial" w:hAnsi="Arial" w:cs="Arial"/>
          <w:sz w:val="20"/>
          <w:szCs w:val="20"/>
        </w:rPr>
        <w:t xml:space="preserve">), </w:t>
      </w:r>
      <w:r w:rsidR="00AB5803" w:rsidRPr="004961F8">
        <w:rPr>
          <w:rFonts w:ascii="Arial" w:hAnsi="Arial" w:cs="Arial"/>
          <w:sz w:val="20"/>
          <w:szCs w:val="20"/>
        </w:rPr>
        <w:t xml:space="preserve">the Umbrella LoU for details of the changes. </w:t>
      </w:r>
    </w:p>
    <w:p w14:paraId="46852EAA" w14:textId="77777777" w:rsidR="0087563B" w:rsidRPr="00F27B14" w:rsidRDefault="0087563B" w:rsidP="0087563B">
      <w:pPr>
        <w:spacing w:after="0"/>
        <w:rPr>
          <w:rFonts w:cs="Avenir LT Std 45 Book"/>
          <w:color w:val="000000"/>
        </w:rPr>
      </w:pPr>
    </w:p>
    <w:tbl>
      <w:tblPr>
        <w:tblStyle w:val="TableGrid"/>
        <w:tblW w:w="14130" w:type="dxa"/>
        <w:tblInd w:w="-252" w:type="dxa"/>
        <w:tblLayout w:type="fixed"/>
        <w:tblLook w:val="04A0" w:firstRow="1" w:lastRow="0" w:firstColumn="1" w:lastColumn="0" w:noHBand="0" w:noVBand="1"/>
      </w:tblPr>
      <w:tblGrid>
        <w:gridCol w:w="540"/>
        <w:gridCol w:w="2070"/>
        <w:gridCol w:w="5490"/>
        <w:gridCol w:w="6030"/>
      </w:tblGrid>
      <w:tr w:rsidR="00664339" w:rsidRPr="004961F8" w14:paraId="2B1DA39B" w14:textId="77777777" w:rsidTr="008D4AB5">
        <w:tc>
          <w:tcPr>
            <w:tcW w:w="540" w:type="dxa"/>
          </w:tcPr>
          <w:p w14:paraId="7E5C09D1" w14:textId="77777777" w:rsidR="00ED1653" w:rsidRPr="004961F8" w:rsidRDefault="00ED1653" w:rsidP="00816E64">
            <w:pPr>
              <w:jc w:val="center"/>
              <w:rPr>
                <w:rFonts w:ascii="Arial" w:hAnsi="Arial" w:cs="Arial"/>
                <w:b/>
                <w:sz w:val="20"/>
                <w:szCs w:val="20"/>
              </w:rPr>
            </w:pPr>
          </w:p>
        </w:tc>
        <w:tc>
          <w:tcPr>
            <w:tcW w:w="2070" w:type="dxa"/>
          </w:tcPr>
          <w:p w14:paraId="2BF1A3DE" w14:textId="77777777" w:rsidR="00ED1653" w:rsidRPr="004961F8" w:rsidRDefault="0069350B" w:rsidP="00816E64">
            <w:pPr>
              <w:jc w:val="center"/>
              <w:rPr>
                <w:rFonts w:ascii="Arial" w:hAnsi="Arial" w:cs="Arial"/>
                <w:b/>
                <w:sz w:val="20"/>
                <w:szCs w:val="20"/>
              </w:rPr>
            </w:pPr>
            <w:r w:rsidRPr="004961F8">
              <w:rPr>
                <w:rFonts w:ascii="Arial" w:hAnsi="Arial" w:cs="Arial"/>
                <w:b/>
                <w:sz w:val="20"/>
                <w:szCs w:val="20"/>
              </w:rPr>
              <w:t>Key Changes</w:t>
            </w:r>
            <w:r w:rsidR="0043638A" w:rsidRPr="004961F8">
              <w:rPr>
                <w:rFonts w:ascii="Arial" w:hAnsi="Arial" w:cs="Arial"/>
                <w:b/>
                <w:sz w:val="20"/>
                <w:szCs w:val="20"/>
              </w:rPr>
              <w:t xml:space="preserve"> &amp; Issues</w:t>
            </w:r>
          </w:p>
        </w:tc>
        <w:tc>
          <w:tcPr>
            <w:tcW w:w="5490" w:type="dxa"/>
          </w:tcPr>
          <w:p w14:paraId="702848BF" w14:textId="77777777" w:rsidR="00ED1653" w:rsidRPr="004961F8" w:rsidRDefault="00ED1653" w:rsidP="00816E64">
            <w:pPr>
              <w:jc w:val="center"/>
              <w:rPr>
                <w:rFonts w:ascii="Arial" w:hAnsi="Arial" w:cs="Arial"/>
                <w:b/>
                <w:sz w:val="20"/>
                <w:szCs w:val="20"/>
              </w:rPr>
            </w:pPr>
            <w:r w:rsidRPr="004961F8">
              <w:rPr>
                <w:rFonts w:ascii="Arial" w:hAnsi="Arial" w:cs="Arial"/>
                <w:b/>
                <w:sz w:val="20"/>
                <w:szCs w:val="20"/>
              </w:rPr>
              <w:t>What this means for COs</w:t>
            </w:r>
          </w:p>
        </w:tc>
        <w:tc>
          <w:tcPr>
            <w:tcW w:w="6030" w:type="dxa"/>
          </w:tcPr>
          <w:p w14:paraId="547BC411" w14:textId="77777777" w:rsidR="00ED1653" w:rsidRPr="004961F8" w:rsidRDefault="00ED1653" w:rsidP="00816E64">
            <w:pPr>
              <w:jc w:val="center"/>
              <w:rPr>
                <w:rFonts w:ascii="Arial" w:hAnsi="Arial" w:cs="Arial"/>
                <w:b/>
                <w:sz w:val="20"/>
                <w:szCs w:val="20"/>
              </w:rPr>
            </w:pPr>
            <w:r w:rsidRPr="004961F8">
              <w:rPr>
                <w:rFonts w:ascii="Arial" w:hAnsi="Arial" w:cs="Arial"/>
                <w:b/>
                <w:sz w:val="20"/>
                <w:szCs w:val="20"/>
              </w:rPr>
              <w:t>Key Actions for COs</w:t>
            </w:r>
          </w:p>
        </w:tc>
      </w:tr>
      <w:tr w:rsidR="0002762D" w:rsidRPr="004961F8" w14:paraId="2AF86005" w14:textId="77777777" w:rsidTr="00CF15F1">
        <w:tc>
          <w:tcPr>
            <w:tcW w:w="14130" w:type="dxa"/>
            <w:gridSpan w:val="4"/>
            <w:shd w:val="clear" w:color="auto" w:fill="DAEEF3" w:themeFill="accent5" w:themeFillTint="33"/>
          </w:tcPr>
          <w:p w14:paraId="2B1A4C93" w14:textId="77777777" w:rsidR="0002762D" w:rsidRPr="004961F8" w:rsidRDefault="0002762D" w:rsidP="00664339">
            <w:pPr>
              <w:rPr>
                <w:rFonts w:ascii="Arial" w:hAnsi="Arial" w:cs="Arial"/>
                <w:b/>
                <w:sz w:val="20"/>
                <w:szCs w:val="20"/>
              </w:rPr>
            </w:pPr>
            <w:r w:rsidRPr="004961F8">
              <w:rPr>
                <w:rFonts w:ascii="Arial" w:hAnsi="Arial" w:cs="Arial"/>
                <w:b/>
                <w:color w:val="0070C0"/>
                <w:sz w:val="20"/>
                <w:szCs w:val="20"/>
              </w:rPr>
              <w:t>CO</w:t>
            </w:r>
            <w:r w:rsidR="00664339" w:rsidRPr="004961F8">
              <w:rPr>
                <w:rFonts w:ascii="Arial" w:hAnsi="Arial" w:cs="Arial"/>
                <w:b/>
                <w:color w:val="0070C0"/>
                <w:sz w:val="20"/>
                <w:szCs w:val="20"/>
              </w:rPr>
              <w:t>’s to</w:t>
            </w:r>
            <w:r w:rsidRPr="004961F8">
              <w:rPr>
                <w:rFonts w:ascii="Arial" w:hAnsi="Arial" w:cs="Arial"/>
                <w:b/>
                <w:color w:val="0070C0"/>
                <w:sz w:val="20"/>
                <w:szCs w:val="20"/>
              </w:rPr>
              <w:t xml:space="preserve"> </w:t>
            </w:r>
            <w:r w:rsidR="00664339" w:rsidRPr="004961F8">
              <w:rPr>
                <w:rFonts w:ascii="Arial" w:hAnsi="Arial" w:cs="Arial"/>
                <w:b/>
                <w:color w:val="0070C0"/>
                <w:sz w:val="20"/>
                <w:szCs w:val="20"/>
              </w:rPr>
              <w:t xml:space="preserve">alert EMOPS &amp; RO’s when </w:t>
            </w:r>
            <w:r w:rsidRPr="004961F8">
              <w:rPr>
                <w:rFonts w:ascii="Arial" w:hAnsi="Arial" w:cs="Arial"/>
                <w:b/>
                <w:color w:val="0070C0"/>
                <w:sz w:val="20"/>
                <w:szCs w:val="20"/>
              </w:rPr>
              <w:t xml:space="preserve">CERF projects </w:t>
            </w:r>
            <w:r w:rsidR="00664339" w:rsidRPr="004961F8">
              <w:rPr>
                <w:rFonts w:ascii="Arial" w:hAnsi="Arial" w:cs="Arial"/>
                <w:b/>
                <w:color w:val="0070C0"/>
                <w:sz w:val="20"/>
                <w:szCs w:val="20"/>
              </w:rPr>
              <w:t>are being drafted; share final submissions with EMOPS &amp;</w:t>
            </w:r>
            <w:r w:rsidRPr="004961F8">
              <w:rPr>
                <w:rFonts w:ascii="Arial" w:hAnsi="Arial" w:cs="Arial"/>
                <w:b/>
                <w:color w:val="0070C0"/>
                <w:sz w:val="20"/>
                <w:szCs w:val="20"/>
              </w:rPr>
              <w:t xml:space="preserve"> RO.</w:t>
            </w:r>
          </w:p>
        </w:tc>
      </w:tr>
      <w:tr w:rsidR="00664339" w:rsidRPr="004961F8" w14:paraId="33BB81E4" w14:textId="77777777" w:rsidTr="008D4AB5">
        <w:tc>
          <w:tcPr>
            <w:tcW w:w="540" w:type="dxa"/>
          </w:tcPr>
          <w:p w14:paraId="158877A3" w14:textId="77777777" w:rsidR="00ED1653" w:rsidRPr="004961F8" w:rsidRDefault="00ED1653" w:rsidP="00ED1653">
            <w:pPr>
              <w:rPr>
                <w:rFonts w:ascii="Arial" w:hAnsi="Arial" w:cs="Arial"/>
                <w:b/>
                <w:sz w:val="20"/>
                <w:szCs w:val="20"/>
              </w:rPr>
            </w:pPr>
            <w:r w:rsidRPr="004961F8">
              <w:rPr>
                <w:rFonts w:ascii="Arial" w:hAnsi="Arial" w:cs="Arial"/>
                <w:b/>
                <w:sz w:val="20"/>
                <w:szCs w:val="20"/>
              </w:rPr>
              <w:t>1</w:t>
            </w:r>
          </w:p>
        </w:tc>
        <w:tc>
          <w:tcPr>
            <w:tcW w:w="2070" w:type="dxa"/>
          </w:tcPr>
          <w:p w14:paraId="2F625732" w14:textId="5FCDBE03" w:rsidR="00ED1653" w:rsidRPr="004961F8" w:rsidRDefault="00ED1653" w:rsidP="00613FEF">
            <w:pPr>
              <w:rPr>
                <w:rFonts w:ascii="Arial" w:hAnsi="Arial" w:cs="Arial"/>
                <w:sz w:val="20"/>
                <w:szCs w:val="20"/>
              </w:rPr>
            </w:pPr>
            <w:r w:rsidRPr="004961F8">
              <w:rPr>
                <w:rFonts w:ascii="Arial" w:hAnsi="Arial" w:cs="Arial"/>
                <w:b/>
                <w:sz w:val="20"/>
                <w:szCs w:val="20"/>
              </w:rPr>
              <w:t>Extended time-frame</w:t>
            </w:r>
            <w:r w:rsidRPr="004961F8">
              <w:rPr>
                <w:rFonts w:ascii="Arial" w:hAnsi="Arial" w:cs="Arial"/>
                <w:sz w:val="20"/>
                <w:szCs w:val="20"/>
              </w:rPr>
              <w:t xml:space="preserve"> </w:t>
            </w:r>
            <w:r w:rsidRPr="004961F8">
              <w:rPr>
                <w:rFonts w:ascii="Arial" w:hAnsi="Arial" w:cs="Arial"/>
                <w:b/>
                <w:sz w:val="20"/>
                <w:szCs w:val="20"/>
              </w:rPr>
              <w:t>for Implementation</w:t>
            </w:r>
            <w:r w:rsidR="00613FEF" w:rsidRPr="004961F8">
              <w:rPr>
                <w:rFonts w:ascii="Arial" w:hAnsi="Arial" w:cs="Arial"/>
                <w:sz w:val="20"/>
                <w:szCs w:val="20"/>
              </w:rPr>
              <w:t>-</w:t>
            </w:r>
          </w:p>
        </w:tc>
        <w:tc>
          <w:tcPr>
            <w:tcW w:w="5490" w:type="dxa"/>
          </w:tcPr>
          <w:p w14:paraId="0059C9B3" w14:textId="77777777" w:rsidR="0075724C" w:rsidRPr="004961F8" w:rsidRDefault="00613FEF" w:rsidP="00551EC4">
            <w:pPr>
              <w:rPr>
                <w:rFonts w:ascii="Arial" w:hAnsi="Arial" w:cs="Arial"/>
                <w:sz w:val="20"/>
                <w:szCs w:val="20"/>
              </w:rPr>
            </w:pPr>
            <w:r w:rsidRPr="004961F8">
              <w:rPr>
                <w:rFonts w:ascii="Arial" w:hAnsi="Arial" w:cs="Arial"/>
                <w:sz w:val="20"/>
                <w:szCs w:val="20"/>
              </w:rPr>
              <w:t xml:space="preserve">Activities funded against the </w:t>
            </w:r>
            <w:r w:rsidRPr="004961F8">
              <w:rPr>
                <w:rFonts w:ascii="Arial" w:hAnsi="Arial" w:cs="Arial"/>
                <w:sz w:val="20"/>
                <w:szCs w:val="20"/>
                <w:u w:val="single"/>
              </w:rPr>
              <w:t>Rapid Response Grant</w:t>
            </w:r>
            <w:r w:rsidRPr="004961F8">
              <w:rPr>
                <w:rFonts w:ascii="Arial" w:hAnsi="Arial" w:cs="Arial"/>
                <w:sz w:val="20"/>
                <w:szCs w:val="20"/>
              </w:rPr>
              <w:t xml:space="preserve"> will </w:t>
            </w:r>
            <w:r w:rsidR="00C06560" w:rsidRPr="004961F8">
              <w:rPr>
                <w:rFonts w:ascii="Arial" w:hAnsi="Arial" w:cs="Arial"/>
                <w:sz w:val="20"/>
                <w:szCs w:val="20"/>
              </w:rPr>
              <w:t xml:space="preserve">have to </w:t>
            </w:r>
            <w:r w:rsidRPr="004961F8">
              <w:rPr>
                <w:rFonts w:ascii="Arial" w:hAnsi="Arial" w:cs="Arial"/>
                <w:sz w:val="20"/>
                <w:szCs w:val="20"/>
              </w:rPr>
              <w:t xml:space="preserve">be implemented within </w:t>
            </w:r>
            <w:r w:rsidR="0075724C" w:rsidRPr="004961F8">
              <w:rPr>
                <w:rFonts w:ascii="Arial" w:hAnsi="Arial" w:cs="Arial"/>
                <w:sz w:val="20"/>
                <w:szCs w:val="20"/>
              </w:rPr>
              <w:t xml:space="preserve">6 months following disbursement. </w:t>
            </w:r>
          </w:p>
          <w:p w14:paraId="5EEA3286" w14:textId="77777777" w:rsidR="0075724C" w:rsidRPr="004961F8" w:rsidRDefault="0075724C" w:rsidP="00551EC4">
            <w:pPr>
              <w:rPr>
                <w:rFonts w:ascii="Arial" w:hAnsi="Arial" w:cs="Arial"/>
                <w:sz w:val="20"/>
                <w:szCs w:val="20"/>
              </w:rPr>
            </w:pPr>
          </w:p>
          <w:p w14:paraId="147F85F9" w14:textId="43A7CD73" w:rsidR="00ED1653" w:rsidRPr="004961F8" w:rsidRDefault="0075724C" w:rsidP="00551EC4">
            <w:pPr>
              <w:rPr>
                <w:rFonts w:ascii="Arial" w:hAnsi="Arial" w:cs="Arial"/>
                <w:color w:val="000000"/>
                <w:sz w:val="20"/>
                <w:szCs w:val="20"/>
                <w:lang w:val="en-GB"/>
              </w:rPr>
            </w:pPr>
            <w:r w:rsidRPr="004961F8">
              <w:rPr>
                <w:rFonts w:ascii="Arial" w:hAnsi="Arial" w:cs="Arial"/>
                <w:b/>
                <w:sz w:val="20"/>
                <w:szCs w:val="20"/>
              </w:rPr>
              <w:t>No Cost Extensions</w:t>
            </w:r>
            <w:r w:rsidRPr="004961F8">
              <w:rPr>
                <w:rFonts w:ascii="Arial" w:hAnsi="Arial" w:cs="Arial"/>
                <w:sz w:val="20"/>
                <w:szCs w:val="20"/>
              </w:rPr>
              <w:t xml:space="preserve"> - </w:t>
            </w:r>
            <w:r w:rsidR="00551EC4" w:rsidRPr="004961F8">
              <w:rPr>
                <w:rFonts w:ascii="Arial" w:hAnsi="Arial" w:cs="Arial"/>
                <w:color w:val="000000"/>
                <w:sz w:val="20"/>
                <w:szCs w:val="20"/>
                <w:lang w:val="en-GB"/>
              </w:rPr>
              <w:t>This means that No-C</w:t>
            </w:r>
            <w:r w:rsidR="00DB04CE" w:rsidRPr="004961F8">
              <w:rPr>
                <w:rFonts w:ascii="Arial" w:hAnsi="Arial" w:cs="Arial"/>
                <w:color w:val="000000"/>
                <w:sz w:val="20"/>
                <w:szCs w:val="20"/>
                <w:lang w:val="en-GB"/>
              </w:rPr>
              <w:t xml:space="preserve">ost </w:t>
            </w:r>
            <w:r w:rsidR="00551EC4" w:rsidRPr="004961F8">
              <w:rPr>
                <w:rFonts w:ascii="Arial" w:hAnsi="Arial" w:cs="Arial"/>
                <w:color w:val="000000"/>
                <w:sz w:val="20"/>
                <w:szCs w:val="20"/>
                <w:lang w:val="en-GB"/>
              </w:rPr>
              <w:t>E</w:t>
            </w:r>
            <w:r w:rsidR="00DB04CE" w:rsidRPr="004961F8">
              <w:rPr>
                <w:rFonts w:ascii="Arial" w:hAnsi="Arial" w:cs="Arial"/>
                <w:color w:val="000000"/>
                <w:sz w:val="20"/>
                <w:szCs w:val="20"/>
                <w:lang w:val="en-GB"/>
              </w:rPr>
              <w:t xml:space="preserve">xtensions </w:t>
            </w:r>
            <w:r w:rsidR="006F1645" w:rsidRPr="004961F8">
              <w:rPr>
                <w:rFonts w:ascii="Arial" w:hAnsi="Arial" w:cs="Arial"/>
                <w:color w:val="000000"/>
                <w:sz w:val="20"/>
                <w:szCs w:val="20"/>
                <w:lang w:val="en-GB"/>
              </w:rPr>
              <w:t xml:space="preserve">(NCE) </w:t>
            </w:r>
            <w:r w:rsidR="00DB04CE" w:rsidRPr="004961F8">
              <w:rPr>
                <w:rFonts w:ascii="Arial" w:hAnsi="Arial" w:cs="Arial"/>
                <w:color w:val="000000"/>
                <w:sz w:val="20"/>
                <w:szCs w:val="20"/>
                <w:lang w:val="en-GB"/>
              </w:rPr>
              <w:t xml:space="preserve">will no longer be as necessary as before and if needed will need stronger justifications. </w:t>
            </w:r>
          </w:p>
          <w:p w14:paraId="1AF0F418" w14:textId="77777777" w:rsidR="0075724C" w:rsidRPr="004961F8" w:rsidRDefault="0075724C" w:rsidP="0075724C">
            <w:pPr>
              <w:rPr>
                <w:rFonts w:ascii="Arial" w:hAnsi="Arial" w:cs="Arial"/>
                <w:sz w:val="20"/>
                <w:szCs w:val="20"/>
              </w:rPr>
            </w:pPr>
          </w:p>
          <w:p w14:paraId="6AB7EEBB" w14:textId="242FF008" w:rsidR="0075724C" w:rsidRPr="004961F8" w:rsidRDefault="0075724C" w:rsidP="0075724C">
            <w:pPr>
              <w:rPr>
                <w:rFonts w:ascii="Arial" w:hAnsi="Arial" w:cs="Arial"/>
                <w:sz w:val="20"/>
                <w:szCs w:val="20"/>
              </w:rPr>
            </w:pPr>
            <w:r w:rsidRPr="004961F8">
              <w:rPr>
                <w:rFonts w:ascii="Arial" w:hAnsi="Arial" w:cs="Arial"/>
                <w:b/>
                <w:sz w:val="20"/>
                <w:szCs w:val="20"/>
              </w:rPr>
              <w:t>Definition of implementation</w:t>
            </w:r>
            <w:r w:rsidRPr="004961F8">
              <w:rPr>
                <w:rFonts w:ascii="Arial" w:hAnsi="Arial" w:cs="Arial"/>
                <w:sz w:val="20"/>
                <w:szCs w:val="20"/>
              </w:rPr>
              <w:t xml:space="preserve"> - ST/SGB/2010/5  "Implementation is defined as the completion of programmatic activities related to the grant, and the expensing of grant funds within an eligible organization’s internal financial system"</w:t>
            </w:r>
          </w:p>
        </w:tc>
        <w:tc>
          <w:tcPr>
            <w:tcW w:w="6030" w:type="dxa"/>
          </w:tcPr>
          <w:p w14:paraId="4659A63D" w14:textId="77777777" w:rsidR="0075724C" w:rsidRPr="004961F8" w:rsidRDefault="00247802" w:rsidP="006F1645">
            <w:pPr>
              <w:rPr>
                <w:rFonts w:ascii="Arial" w:hAnsi="Arial" w:cs="Arial"/>
                <w:sz w:val="20"/>
                <w:szCs w:val="20"/>
              </w:rPr>
            </w:pPr>
            <w:r w:rsidRPr="004961F8">
              <w:rPr>
                <w:rFonts w:ascii="Arial" w:hAnsi="Arial" w:cs="Arial"/>
                <w:sz w:val="20"/>
                <w:szCs w:val="20"/>
              </w:rPr>
              <w:t xml:space="preserve">Rapid Response </w:t>
            </w:r>
            <w:r w:rsidR="00674B0C" w:rsidRPr="004961F8">
              <w:rPr>
                <w:rFonts w:ascii="Arial" w:hAnsi="Arial" w:cs="Arial"/>
                <w:sz w:val="20"/>
                <w:szCs w:val="20"/>
              </w:rPr>
              <w:t>PBA</w:t>
            </w:r>
            <w:r w:rsidR="00AD4E15" w:rsidRPr="004961F8">
              <w:rPr>
                <w:rFonts w:ascii="Arial" w:hAnsi="Arial" w:cs="Arial"/>
                <w:sz w:val="20"/>
                <w:szCs w:val="20"/>
              </w:rPr>
              <w:t xml:space="preserve">s will be issued for 6 months from </w:t>
            </w:r>
            <w:r w:rsidR="00AD4E15" w:rsidRPr="004961F8">
              <w:rPr>
                <w:rFonts w:ascii="Arial" w:hAnsi="Arial" w:cs="Arial"/>
                <w:b/>
                <w:sz w:val="20"/>
                <w:szCs w:val="20"/>
                <w:u w:val="single"/>
              </w:rPr>
              <w:t>the date of disbursement</w:t>
            </w:r>
            <w:r w:rsidRPr="004961F8">
              <w:rPr>
                <w:rFonts w:ascii="Arial" w:hAnsi="Arial" w:cs="Arial"/>
                <w:sz w:val="20"/>
                <w:szCs w:val="20"/>
              </w:rPr>
              <w:t xml:space="preserve"> </w:t>
            </w:r>
            <w:r w:rsidR="001A1CCB" w:rsidRPr="004961F8">
              <w:rPr>
                <w:rStyle w:val="FootnoteReference"/>
                <w:rFonts w:ascii="Arial" w:hAnsi="Arial" w:cs="Arial"/>
                <w:sz w:val="20"/>
                <w:szCs w:val="20"/>
              </w:rPr>
              <w:footnoteReference w:id="2"/>
            </w:r>
            <w:r w:rsidRPr="004961F8">
              <w:rPr>
                <w:rFonts w:ascii="Arial" w:hAnsi="Arial" w:cs="Arial"/>
                <w:sz w:val="20"/>
                <w:szCs w:val="20"/>
              </w:rPr>
              <w:t>(or 6 months after the start date of the project if a start date is specified</w:t>
            </w:r>
            <w:r w:rsidR="00674B0C" w:rsidRPr="004961F8">
              <w:rPr>
                <w:rFonts w:ascii="Arial" w:hAnsi="Arial" w:cs="Arial"/>
                <w:sz w:val="20"/>
                <w:szCs w:val="20"/>
              </w:rPr>
              <w:t xml:space="preserve"> </w:t>
            </w:r>
            <w:r w:rsidR="00366C5F" w:rsidRPr="004961F8">
              <w:rPr>
                <w:rFonts w:ascii="Arial" w:hAnsi="Arial" w:cs="Arial"/>
                <w:sz w:val="20"/>
                <w:szCs w:val="20"/>
              </w:rPr>
              <w:t xml:space="preserve"> </w:t>
            </w:r>
            <w:r w:rsidR="0075724C" w:rsidRPr="004961F8">
              <w:rPr>
                <w:rFonts w:ascii="Arial" w:hAnsi="Arial" w:cs="Arial"/>
                <w:sz w:val="20"/>
                <w:szCs w:val="20"/>
              </w:rPr>
              <w:t>in the project application template</w:t>
            </w:r>
            <w:r w:rsidR="00674B0C" w:rsidRPr="004961F8">
              <w:rPr>
                <w:rFonts w:ascii="Arial" w:hAnsi="Arial" w:cs="Arial"/>
                <w:sz w:val="20"/>
                <w:szCs w:val="20"/>
              </w:rPr>
              <w:t xml:space="preserve"> – see point 6 below</w:t>
            </w:r>
            <w:r w:rsidRPr="004961F8">
              <w:rPr>
                <w:rFonts w:ascii="Arial" w:hAnsi="Arial" w:cs="Arial"/>
                <w:sz w:val="20"/>
                <w:szCs w:val="20"/>
              </w:rPr>
              <w:t>)</w:t>
            </w:r>
            <w:r w:rsidR="00404E2F" w:rsidRPr="004961F8">
              <w:rPr>
                <w:rFonts w:ascii="Arial" w:hAnsi="Arial" w:cs="Arial"/>
                <w:sz w:val="20"/>
                <w:szCs w:val="20"/>
              </w:rPr>
              <w:t xml:space="preserve"> and </w:t>
            </w:r>
            <w:r w:rsidR="00C27252" w:rsidRPr="004961F8">
              <w:rPr>
                <w:rFonts w:ascii="Arial" w:hAnsi="Arial" w:cs="Arial"/>
                <w:sz w:val="20"/>
                <w:szCs w:val="20"/>
              </w:rPr>
              <w:t xml:space="preserve">will need to be closely </w:t>
            </w:r>
            <w:r w:rsidR="00404E2F" w:rsidRPr="004961F8">
              <w:rPr>
                <w:rFonts w:ascii="Arial" w:hAnsi="Arial" w:cs="Arial"/>
                <w:sz w:val="20"/>
                <w:szCs w:val="20"/>
              </w:rPr>
              <w:t>monitored</w:t>
            </w:r>
            <w:r w:rsidR="0002762D" w:rsidRPr="004961F8">
              <w:rPr>
                <w:rFonts w:ascii="Arial" w:hAnsi="Arial" w:cs="Arial"/>
                <w:sz w:val="20"/>
                <w:szCs w:val="20"/>
              </w:rPr>
              <w:t xml:space="preserve"> based on expenditures.</w:t>
            </w:r>
            <w:r w:rsidR="00551EC4" w:rsidRPr="004961F8">
              <w:rPr>
                <w:rFonts w:ascii="Arial" w:hAnsi="Arial" w:cs="Arial"/>
                <w:sz w:val="20"/>
                <w:szCs w:val="20"/>
              </w:rPr>
              <w:t xml:space="preserve"> </w:t>
            </w:r>
          </w:p>
          <w:p w14:paraId="7BFD0A2D" w14:textId="77777777" w:rsidR="0075724C" w:rsidRPr="004961F8" w:rsidRDefault="0075724C" w:rsidP="006F1645">
            <w:pPr>
              <w:rPr>
                <w:rFonts w:ascii="Arial" w:hAnsi="Arial" w:cs="Arial"/>
                <w:sz w:val="20"/>
                <w:szCs w:val="20"/>
              </w:rPr>
            </w:pPr>
          </w:p>
          <w:p w14:paraId="2D4E6668" w14:textId="2BD2738E" w:rsidR="006F1645" w:rsidRPr="004961F8" w:rsidRDefault="006F1645" w:rsidP="006F1645">
            <w:pPr>
              <w:rPr>
                <w:rFonts w:ascii="Arial" w:hAnsi="Arial" w:cs="Arial"/>
                <w:sz w:val="20"/>
                <w:szCs w:val="20"/>
              </w:rPr>
            </w:pPr>
            <w:r w:rsidRPr="004961F8">
              <w:rPr>
                <w:rFonts w:ascii="Arial" w:hAnsi="Arial" w:cs="Arial"/>
                <w:b/>
                <w:sz w:val="20"/>
                <w:szCs w:val="20"/>
              </w:rPr>
              <w:t>No Cost Extensions</w:t>
            </w:r>
            <w:r w:rsidRPr="004961F8">
              <w:rPr>
                <w:rFonts w:ascii="Arial" w:hAnsi="Arial" w:cs="Arial"/>
                <w:sz w:val="20"/>
                <w:szCs w:val="20"/>
              </w:rPr>
              <w:t xml:space="preserve"> </w:t>
            </w:r>
            <w:r w:rsidR="0075724C" w:rsidRPr="004961F8">
              <w:rPr>
                <w:rFonts w:ascii="Arial" w:hAnsi="Arial" w:cs="Arial"/>
                <w:sz w:val="20"/>
                <w:szCs w:val="20"/>
              </w:rPr>
              <w:t xml:space="preserve">  -</w:t>
            </w:r>
            <w:r w:rsidRPr="004961F8">
              <w:rPr>
                <w:rFonts w:ascii="Arial" w:hAnsi="Arial" w:cs="Arial"/>
                <w:sz w:val="20"/>
                <w:szCs w:val="20"/>
              </w:rPr>
              <w:t xml:space="preserve">will rarely be given and if in rare circumstances is requested then </w:t>
            </w:r>
            <w:r w:rsidRPr="004961F8">
              <w:rPr>
                <w:rFonts w:ascii="Arial" w:hAnsi="Arial" w:cs="Arial"/>
                <w:i/>
                <w:sz w:val="20"/>
                <w:szCs w:val="20"/>
              </w:rPr>
              <w:t>justifications need to be strong</w:t>
            </w:r>
            <w:r w:rsidRPr="004961F8">
              <w:rPr>
                <w:rFonts w:ascii="Arial" w:hAnsi="Arial" w:cs="Arial"/>
                <w:sz w:val="20"/>
                <w:szCs w:val="20"/>
              </w:rPr>
              <w:t xml:space="preserve">. The NCE should be requested </w:t>
            </w:r>
            <w:r w:rsidRPr="004961F8">
              <w:rPr>
                <w:rFonts w:ascii="Arial" w:hAnsi="Arial" w:cs="Arial"/>
                <w:b/>
                <w:i/>
                <w:sz w:val="20"/>
                <w:szCs w:val="20"/>
                <w:u w:val="single"/>
              </w:rPr>
              <w:t>at least</w:t>
            </w:r>
            <w:r w:rsidRPr="004961F8">
              <w:rPr>
                <w:rFonts w:ascii="Arial" w:hAnsi="Arial" w:cs="Arial"/>
                <w:b/>
                <w:sz w:val="20"/>
                <w:szCs w:val="20"/>
                <w:u w:val="single"/>
              </w:rPr>
              <w:t xml:space="preserve"> one month before the expiry</w:t>
            </w:r>
            <w:r w:rsidR="0075724C" w:rsidRPr="004961F8">
              <w:rPr>
                <w:rFonts w:ascii="Arial" w:hAnsi="Arial" w:cs="Arial"/>
                <w:sz w:val="20"/>
                <w:szCs w:val="20"/>
              </w:rPr>
              <w:t xml:space="preserve"> of the CERF PBA and will have to be strongly based on the CERF life-saving criteria.</w:t>
            </w:r>
          </w:p>
        </w:tc>
      </w:tr>
      <w:tr w:rsidR="00664339" w:rsidRPr="004961F8" w14:paraId="0A379E20" w14:textId="77777777" w:rsidTr="008D4AB5">
        <w:tc>
          <w:tcPr>
            <w:tcW w:w="540" w:type="dxa"/>
          </w:tcPr>
          <w:p w14:paraId="3B72E710" w14:textId="61808CD6" w:rsidR="00613FEF" w:rsidRPr="004961F8" w:rsidRDefault="00C50229" w:rsidP="004961F8">
            <w:pPr>
              <w:ind w:left="-108" w:right="-108" w:firstLine="108"/>
              <w:rPr>
                <w:rFonts w:ascii="Arial" w:hAnsi="Arial" w:cs="Arial"/>
                <w:b/>
                <w:sz w:val="20"/>
                <w:szCs w:val="20"/>
              </w:rPr>
            </w:pPr>
            <w:r w:rsidRPr="004961F8">
              <w:rPr>
                <w:rFonts w:ascii="Arial" w:hAnsi="Arial" w:cs="Arial"/>
                <w:b/>
                <w:sz w:val="20"/>
                <w:szCs w:val="20"/>
              </w:rPr>
              <w:t>2</w:t>
            </w:r>
          </w:p>
        </w:tc>
        <w:tc>
          <w:tcPr>
            <w:tcW w:w="2070" w:type="dxa"/>
          </w:tcPr>
          <w:p w14:paraId="4217257B" w14:textId="01D32EF8" w:rsidR="00613FEF" w:rsidRPr="004961F8" w:rsidRDefault="00613FEF" w:rsidP="00613FEF">
            <w:pPr>
              <w:rPr>
                <w:rFonts w:ascii="Arial" w:hAnsi="Arial" w:cs="Arial"/>
                <w:sz w:val="20"/>
                <w:szCs w:val="20"/>
              </w:rPr>
            </w:pPr>
            <w:r w:rsidRPr="004961F8">
              <w:rPr>
                <w:rFonts w:ascii="Arial" w:hAnsi="Arial" w:cs="Arial"/>
                <w:b/>
                <w:sz w:val="20"/>
                <w:szCs w:val="20"/>
              </w:rPr>
              <w:t>Financial Management</w:t>
            </w:r>
            <w:r w:rsidR="004961F8">
              <w:rPr>
                <w:rFonts w:ascii="Arial" w:hAnsi="Arial" w:cs="Arial"/>
                <w:sz w:val="20"/>
                <w:szCs w:val="20"/>
              </w:rPr>
              <w:t xml:space="preserve"> –</w:t>
            </w:r>
          </w:p>
        </w:tc>
        <w:tc>
          <w:tcPr>
            <w:tcW w:w="5490" w:type="dxa"/>
          </w:tcPr>
          <w:p w14:paraId="0D05C344" w14:textId="77777777" w:rsidR="0043638A" w:rsidRPr="004961F8" w:rsidRDefault="0043638A" w:rsidP="0043638A">
            <w:pPr>
              <w:rPr>
                <w:rFonts w:ascii="Arial" w:hAnsi="Arial" w:cs="Arial"/>
                <w:sz w:val="20"/>
                <w:szCs w:val="20"/>
                <w:u w:val="single"/>
              </w:rPr>
            </w:pPr>
            <w:r w:rsidRPr="004961F8">
              <w:rPr>
                <w:rFonts w:ascii="Arial" w:hAnsi="Arial" w:cs="Arial"/>
                <w:sz w:val="20"/>
                <w:szCs w:val="20"/>
              </w:rPr>
              <w:t xml:space="preserve">The Office of the Executive Director was notified of funds that have been refunded due to non-expenditure over the last few years. The worst reports were for CERF PBAs. </w:t>
            </w:r>
            <w:r w:rsidRPr="004961F8">
              <w:rPr>
                <w:rFonts w:ascii="Arial" w:hAnsi="Arial" w:cs="Arial"/>
                <w:i/>
                <w:sz w:val="20"/>
                <w:szCs w:val="20"/>
              </w:rPr>
              <w:t>Please ensure applications made to CERF are made on realistic needs and expenditure plans within the timeframes indicated.</w:t>
            </w:r>
            <w:r w:rsidRPr="004961F8">
              <w:rPr>
                <w:rFonts w:ascii="Arial" w:hAnsi="Arial" w:cs="Arial"/>
                <w:sz w:val="20"/>
                <w:szCs w:val="20"/>
                <w:u w:val="single"/>
              </w:rPr>
              <w:t xml:space="preserve"> </w:t>
            </w:r>
          </w:p>
          <w:p w14:paraId="3120CA8A" w14:textId="77777777" w:rsidR="0043638A" w:rsidRPr="004961F8" w:rsidRDefault="0043638A" w:rsidP="00476490">
            <w:pPr>
              <w:rPr>
                <w:rFonts w:ascii="Arial" w:hAnsi="Arial" w:cs="Arial"/>
                <w:sz w:val="20"/>
                <w:szCs w:val="20"/>
              </w:rPr>
            </w:pPr>
          </w:p>
          <w:p w14:paraId="5206EADF" w14:textId="3C9E43E8" w:rsidR="00476490" w:rsidRPr="004961F8" w:rsidRDefault="00BC56D3" w:rsidP="00476490">
            <w:pPr>
              <w:rPr>
                <w:rFonts w:ascii="Arial" w:hAnsi="Arial" w:cs="Arial"/>
                <w:sz w:val="20"/>
                <w:szCs w:val="20"/>
              </w:rPr>
            </w:pPr>
            <w:r w:rsidRPr="004961F8">
              <w:rPr>
                <w:rFonts w:ascii="Arial" w:hAnsi="Arial" w:cs="Arial"/>
                <w:sz w:val="20"/>
                <w:szCs w:val="20"/>
              </w:rPr>
              <w:t>Over</w:t>
            </w:r>
            <w:r w:rsidR="0043638A" w:rsidRPr="004961F8">
              <w:rPr>
                <w:rFonts w:ascii="Arial" w:hAnsi="Arial" w:cs="Arial"/>
                <w:sz w:val="20"/>
                <w:szCs w:val="20"/>
              </w:rPr>
              <w:t>-</w:t>
            </w:r>
            <w:r w:rsidRPr="004961F8">
              <w:rPr>
                <w:rFonts w:ascii="Arial" w:hAnsi="Arial" w:cs="Arial"/>
                <w:sz w:val="20"/>
                <w:szCs w:val="20"/>
              </w:rPr>
              <w:t>expenditure on any budget line (with the exception of staff costs and recovery costs) exceeding 15% of budget</w:t>
            </w:r>
            <w:r w:rsidR="008A3017" w:rsidRPr="004961F8">
              <w:rPr>
                <w:rFonts w:ascii="Arial" w:hAnsi="Arial" w:cs="Arial"/>
                <w:sz w:val="20"/>
                <w:szCs w:val="20"/>
              </w:rPr>
              <w:t xml:space="preserve"> line item</w:t>
            </w:r>
            <w:r w:rsidRPr="004961F8">
              <w:rPr>
                <w:rFonts w:ascii="Arial" w:hAnsi="Arial" w:cs="Arial"/>
                <w:sz w:val="20"/>
                <w:szCs w:val="20"/>
              </w:rPr>
              <w:t xml:space="preserve"> will have to be endorsed by the RC/HC and have written approval from the ERC prior to the expenditure being incurred.  For staff costs any overexpenditure must have prior approval from the ERC. </w:t>
            </w:r>
            <w:r w:rsidR="008A3017" w:rsidRPr="004961F8">
              <w:rPr>
                <w:rFonts w:ascii="Arial" w:hAnsi="Arial" w:cs="Arial"/>
                <w:sz w:val="20"/>
                <w:szCs w:val="20"/>
              </w:rPr>
              <w:t xml:space="preserve">No increases on the total budget should be made. </w:t>
            </w:r>
          </w:p>
          <w:p w14:paraId="6E6D4593" w14:textId="77777777" w:rsidR="00476490" w:rsidRPr="004961F8" w:rsidRDefault="00476490" w:rsidP="00476490">
            <w:pPr>
              <w:rPr>
                <w:rFonts w:ascii="Arial" w:hAnsi="Arial" w:cs="Arial"/>
                <w:sz w:val="20"/>
                <w:szCs w:val="20"/>
              </w:rPr>
            </w:pPr>
          </w:p>
          <w:p w14:paraId="71130D10" w14:textId="77777777" w:rsidR="00613FEF" w:rsidRPr="004961F8" w:rsidRDefault="00476490" w:rsidP="00476490">
            <w:pPr>
              <w:rPr>
                <w:rFonts w:ascii="Arial" w:hAnsi="Arial" w:cs="Arial"/>
                <w:sz w:val="20"/>
                <w:szCs w:val="20"/>
              </w:rPr>
            </w:pPr>
            <w:r w:rsidRPr="004961F8">
              <w:rPr>
                <w:rFonts w:ascii="Arial" w:hAnsi="Arial" w:cs="Arial"/>
                <w:sz w:val="20"/>
                <w:szCs w:val="20"/>
              </w:rPr>
              <w:t>Change in the use of the funds from what has been approved in the proposal requires prior approval from the ERC (clause 2.7 of the Umbrella Agreement)</w:t>
            </w:r>
          </w:p>
        </w:tc>
        <w:tc>
          <w:tcPr>
            <w:tcW w:w="6030" w:type="dxa"/>
          </w:tcPr>
          <w:p w14:paraId="02E917FA" w14:textId="77777777" w:rsidR="00613FEF" w:rsidRPr="004961F8" w:rsidRDefault="00664339" w:rsidP="0094479D">
            <w:pPr>
              <w:rPr>
                <w:rFonts w:ascii="Arial" w:hAnsi="Arial" w:cs="Arial"/>
                <w:sz w:val="20"/>
                <w:szCs w:val="20"/>
              </w:rPr>
            </w:pPr>
            <w:r w:rsidRPr="004961F8">
              <w:rPr>
                <w:rFonts w:ascii="Arial" w:hAnsi="Arial" w:cs="Arial"/>
                <w:sz w:val="20"/>
                <w:szCs w:val="20"/>
              </w:rPr>
              <w:lastRenderedPageBreak/>
              <w:t xml:space="preserve">Careful monitoring of expenditure </w:t>
            </w:r>
            <w:r w:rsidR="0094479D" w:rsidRPr="004961F8">
              <w:rPr>
                <w:rFonts w:ascii="Arial" w:hAnsi="Arial" w:cs="Arial"/>
                <w:sz w:val="20"/>
                <w:szCs w:val="20"/>
              </w:rPr>
              <w:t xml:space="preserve">against </w:t>
            </w:r>
            <w:r w:rsidRPr="004961F8">
              <w:rPr>
                <w:rFonts w:ascii="Arial" w:hAnsi="Arial" w:cs="Arial"/>
                <w:sz w:val="20"/>
                <w:szCs w:val="20"/>
              </w:rPr>
              <w:t>budget lines will have to be maintained</w:t>
            </w:r>
            <w:r w:rsidR="00BC56D3" w:rsidRPr="004961F8">
              <w:rPr>
                <w:rFonts w:ascii="Arial" w:hAnsi="Arial" w:cs="Arial"/>
                <w:sz w:val="20"/>
                <w:szCs w:val="20"/>
              </w:rPr>
              <w:t xml:space="preserve"> and prompt notification of the RC/HC </w:t>
            </w:r>
            <w:r w:rsidR="009E7F14" w:rsidRPr="004961F8">
              <w:rPr>
                <w:rFonts w:ascii="Arial" w:hAnsi="Arial" w:cs="Arial"/>
                <w:sz w:val="20"/>
                <w:szCs w:val="20"/>
              </w:rPr>
              <w:t xml:space="preserve">in case of any overexpenditure of a budget line </w:t>
            </w:r>
            <w:r w:rsidR="00BC56D3" w:rsidRPr="004961F8">
              <w:rPr>
                <w:rFonts w:ascii="Arial" w:hAnsi="Arial" w:cs="Arial"/>
                <w:sz w:val="20"/>
                <w:szCs w:val="20"/>
              </w:rPr>
              <w:t>will be required</w:t>
            </w:r>
            <w:r w:rsidRPr="004961F8">
              <w:rPr>
                <w:rFonts w:ascii="Arial" w:hAnsi="Arial" w:cs="Arial"/>
                <w:sz w:val="20"/>
                <w:szCs w:val="20"/>
              </w:rPr>
              <w:t xml:space="preserve">. </w:t>
            </w:r>
          </w:p>
          <w:p w14:paraId="43497A5B" w14:textId="77777777" w:rsidR="003C1B82" w:rsidRPr="004961F8" w:rsidRDefault="003C1B82" w:rsidP="0094479D">
            <w:pPr>
              <w:rPr>
                <w:rFonts w:ascii="Arial" w:hAnsi="Arial" w:cs="Arial"/>
                <w:sz w:val="20"/>
                <w:szCs w:val="20"/>
              </w:rPr>
            </w:pPr>
          </w:p>
          <w:p w14:paraId="7D830482" w14:textId="6FAF5A9A" w:rsidR="00AC4AE0" w:rsidRPr="004961F8" w:rsidRDefault="003C1B82" w:rsidP="0094479D">
            <w:pPr>
              <w:rPr>
                <w:rFonts w:ascii="Arial" w:hAnsi="Arial" w:cs="Arial"/>
                <w:sz w:val="20"/>
                <w:szCs w:val="20"/>
              </w:rPr>
            </w:pPr>
            <w:r w:rsidRPr="004961F8">
              <w:rPr>
                <w:rFonts w:ascii="Arial" w:hAnsi="Arial" w:cs="Arial"/>
                <w:sz w:val="20"/>
                <w:szCs w:val="20"/>
              </w:rPr>
              <w:t xml:space="preserve">It is important that country office uses CERF funds only for the project approved. Funds cannot be used for other purpose until written approval is requested and approval is obtained from the ERC.  If not approved, the unused funds must be refunded.  </w:t>
            </w:r>
          </w:p>
          <w:p w14:paraId="3533C387" w14:textId="77777777" w:rsidR="00C82D3C" w:rsidRPr="004961F8" w:rsidRDefault="00C82D3C" w:rsidP="0094479D">
            <w:pPr>
              <w:rPr>
                <w:rFonts w:ascii="Arial" w:hAnsi="Arial" w:cs="Arial"/>
                <w:sz w:val="20"/>
                <w:szCs w:val="20"/>
              </w:rPr>
            </w:pPr>
          </w:p>
          <w:p w14:paraId="49B8C431" w14:textId="77777777" w:rsidR="005F11CB" w:rsidRPr="004961F8" w:rsidRDefault="005F11CB" w:rsidP="0094479D">
            <w:pPr>
              <w:rPr>
                <w:rFonts w:ascii="Arial" w:hAnsi="Arial" w:cs="Arial"/>
                <w:sz w:val="20"/>
                <w:szCs w:val="20"/>
              </w:rPr>
            </w:pPr>
            <w:r w:rsidRPr="004961F8">
              <w:rPr>
                <w:rFonts w:ascii="Arial" w:hAnsi="Arial" w:cs="Arial"/>
                <w:sz w:val="20"/>
                <w:szCs w:val="20"/>
              </w:rPr>
              <w:t xml:space="preserve">Committing the funds as early as possible </w:t>
            </w:r>
            <w:r w:rsidR="00F64B77" w:rsidRPr="004961F8">
              <w:rPr>
                <w:rFonts w:ascii="Arial" w:hAnsi="Arial" w:cs="Arial"/>
                <w:sz w:val="20"/>
                <w:szCs w:val="20"/>
              </w:rPr>
              <w:t xml:space="preserve">upon receipt of the budget </w:t>
            </w:r>
            <w:r w:rsidRPr="004961F8">
              <w:rPr>
                <w:rFonts w:ascii="Arial" w:hAnsi="Arial" w:cs="Arial"/>
                <w:sz w:val="20"/>
                <w:szCs w:val="20"/>
              </w:rPr>
              <w:t>should be standard practice.  Whenever possible, do not wait until the last few days of the grant duration to commit or expend the funds.</w:t>
            </w:r>
            <w:r w:rsidR="00F64B77" w:rsidRPr="004961F8">
              <w:rPr>
                <w:rFonts w:ascii="Arial" w:hAnsi="Arial" w:cs="Arial"/>
                <w:sz w:val="20"/>
                <w:szCs w:val="20"/>
              </w:rPr>
              <w:t xml:space="preserve">  </w:t>
            </w:r>
          </w:p>
          <w:p w14:paraId="504B7453" w14:textId="77777777" w:rsidR="005F11CB" w:rsidRPr="004961F8" w:rsidRDefault="005F11CB" w:rsidP="0094479D">
            <w:pPr>
              <w:rPr>
                <w:rFonts w:ascii="Arial" w:hAnsi="Arial" w:cs="Arial"/>
                <w:sz w:val="20"/>
                <w:szCs w:val="20"/>
              </w:rPr>
            </w:pPr>
          </w:p>
          <w:p w14:paraId="2650F0EE" w14:textId="2F58D728" w:rsidR="00AC4AE0" w:rsidRPr="004961F8" w:rsidRDefault="00AC4AE0" w:rsidP="0094479D">
            <w:pPr>
              <w:rPr>
                <w:rFonts w:ascii="Arial" w:hAnsi="Arial" w:cs="Arial"/>
                <w:sz w:val="20"/>
                <w:szCs w:val="20"/>
              </w:rPr>
            </w:pPr>
            <w:r w:rsidRPr="004961F8">
              <w:rPr>
                <w:rFonts w:ascii="Arial" w:hAnsi="Arial" w:cs="Arial"/>
                <w:sz w:val="20"/>
                <w:szCs w:val="20"/>
              </w:rPr>
              <w:lastRenderedPageBreak/>
              <w:t xml:space="preserve">Given the </w:t>
            </w:r>
            <w:r w:rsidR="001A1CCB" w:rsidRPr="004961F8">
              <w:rPr>
                <w:rFonts w:ascii="Arial" w:hAnsi="Arial" w:cs="Arial"/>
                <w:sz w:val="20"/>
                <w:szCs w:val="20"/>
              </w:rPr>
              <w:t>history of</w:t>
            </w:r>
            <w:r w:rsidRPr="004961F8">
              <w:rPr>
                <w:rFonts w:ascii="Arial" w:hAnsi="Arial" w:cs="Arial"/>
                <w:sz w:val="20"/>
                <w:szCs w:val="20"/>
              </w:rPr>
              <w:t xml:space="preserve"> high rate of refunds EMOPS will also send reminders to COs to ensure expenditure of funding is on track. </w:t>
            </w:r>
          </w:p>
        </w:tc>
      </w:tr>
      <w:tr w:rsidR="00664339" w:rsidRPr="004961F8" w14:paraId="253B8E09" w14:textId="77777777" w:rsidTr="008D4AB5">
        <w:tc>
          <w:tcPr>
            <w:tcW w:w="540" w:type="dxa"/>
          </w:tcPr>
          <w:p w14:paraId="12B9E5EE" w14:textId="77777777" w:rsidR="00ED1653" w:rsidRPr="004961F8" w:rsidRDefault="00F740DA" w:rsidP="00ED1653">
            <w:pPr>
              <w:rPr>
                <w:rFonts w:ascii="Arial" w:hAnsi="Arial" w:cs="Arial"/>
                <w:b/>
                <w:sz w:val="20"/>
                <w:szCs w:val="20"/>
              </w:rPr>
            </w:pPr>
            <w:r w:rsidRPr="004961F8">
              <w:rPr>
                <w:rFonts w:ascii="Arial" w:hAnsi="Arial" w:cs="Arial"/>
                <w:b/>
                <w:sz w:val="20"/>
                <w:szCs w:val="20"/>
              </w:rPr>
              <w:lastRenderedPageBreak/>
              <w:t>3</w:t>
            </w:r>
          </w:p>
        </w:tc>
        <w:tc>
          <w:tcPr>
            <w:tcW w:w="2070" w:type="dxa"/>
          </w:tcPr>
          <w:p w14:paraId="00B686B3" w14:textId="77777777" w:rsidR="00ED1653" w:rsidRPr="004961F8" w:rsidRDefault="00ED1653" w:rsidP="00C06560">
            <w:pPr>
              <w:rPr>
                <w:rFonts w:ascii="Arial" w:hAnsi="Arial" w:cs="Arial"/>
                <w:sz w:val="20"/>
                <w:szCs w:val="20"/>
              </w:rPr>
            </w:pPr>
            <w:r w:rsidRPr="004961F8">
              <w:rPr>
                <w:rFonts w:ascii="Arial" w:hAnsi="Arial" w:cs="Arial"/>
                <w:b/>
                <w:sz w:val="20"/>
                <w:szCs w:val="20"/>
              </w:rPr>
              <w:t>Application Procedure and</w:t>
            </w:r>
            <w:r w:rsidRPr="004961F8">
              <w:rPr>
                <w:rFonts w:ascii="Arial" w:hAnsi="Arial" w:cs="Arial"/>
                <w:sz w:val="20"/>
                <w:szCs w:val="20"/>
              </w:rPr>
              <w:t xml:space="preserve"> </w:t>
            </w:r>
            <w:r w:rsidRPr="004961F8">
              <w:rPr>
                <w:rFonts w:ascii="Arial" w:hAnsi="Arial" w:cs="Arial"/>
                <w:b/>
                <w:sz w:val="20"/>
                <w:szCs w:val="20"/>
              </w:rPr>
              <w:t>Template</w:t>
            </w:r>
            <w:r w:rsidRPr="004961F8">
              <w:rPr>
                <w:rFonts w:ascii="Arial" w:hAnsi="Arial" w:cs="Arial"/>
                <w:sz w:val="20"/>
                <w:szCs w:val="20"/>
              </w:rPr>
              <w:t xml:space="preserve"> - </w:t>
            </w:r>
          </w:p>
        </w:tc>
        <w:tc>
          <w:tcPr>
            <w:tcW w:w="5490" w:type="dxa"/>
          </w:tcPr>
          <w:p w14:paraId="27829201" w14:textId="7EA25225" w:rsidR="00454F39" w:rsidRPr="004961F8" w:rsidRDefault="004961F8" w:rsidP="008242CE">
            <w:pPr>
              <w:rPr>
                <w:rFonts w:ascii="Arial" w:hAnsi="Arial" w:cs="Arial"/>
                <w:sz w:val="20"/>
                <w:szCs w:val="20"/>
              </w:rPr>
            </w:pPr>
            <w:r w:rsidRPr="004961F8">
              <w:rPr>
                <w:rFonts w:ascii="Arial" w:hAnsi="Arial" w:cs="Arial"/>
                <w:b/>
                <w:sz w:val="20"/>
                <w:szCs w:val="20"/>
              </w:rPr>
              <w:t>New Budget Categories:</w:t>
            </w:r>
            <w:r>
              <w:rPr>
                <w:rFonts w:ascii="Arial" w:hAnsi="Arial" w:cs="Arial"/>
                <w:sz w:val="20"/>
                <w:szCs w:val="20"/>
              </w:rPr>
              <w:t xml:space="preserve"> </w:t>
            </w:r>
            <w:r w:rsidR="00454F39" w:rsidRPr="004961F8">
              <w:rPr>
                <w:rFonts w:ascii="Arial" w:hAnsi="Arial" w:cs="Arial"/>
                <w:sz w:val="20"/>
                <w:szCs w:val="20"/>
              </w:rPr>
              <w:t>As of 1st January 2013, CERF submissions are expected to use the new budget categories in the CERF grant application</w:t>
            </w:r>
            <w:r w:rsidR="008242CE" w:rsidRPr="004961F8">
              <w:rPr>
                <w:rFonts w:ascii="Arial" w:hAnsi="Arial" w:cs="Arial"/>
                <w:sz w:val="20"/>
                <w:szCs w:val="20"/>
              </w:rPr>
              <w:t xml:space="preserve"> (updated to reflect recent changes to the UN Development Group (UNDG) budget categories)</w:t>
            </w:r>
            <w:r w:rsidR="00454F39" w:rsidRPr="004961F8">
              <w:rPr>
                <w:rFonts w:ascii="Arial" w:hAnsi="Arial" w:cs="Arial"/>
                <w:sz w:val="20"/>
                <w:szCs w:val="20"/>
              </w:rPr>
              <w:t>. Regarding financial expenditure reports, please note that the CERF will only apply the new categories in the expenditure report for projects approved in 2013 and onwards.</w:t>
            </w:r>
          </w:p>
          <w:p w14:paraId="5727E689" w14:textId="77777777" w:rsidR="005C5E66" w:rsidRPr="004961F8" w:rsidRDefault="005C5E66" w:rsidP="008242CE">
            <w:pPr>
              <w:rPr>
                <w:rFonts w:ascii="Arial" w:hAnsi="Arial" w:cs="Arial"/>
                <w:sz w:val="20"/>
                <w:szCs w:val="20"/>
              </w:rPr>
            </w:pPr>
          </w:p>
          <w:p w14:paraId="30C3FC1F" w14:textId="2E188FA1" w:rsidR="005C5E66" w:rsidRPr="004961F8" w:rsidRDefault="005C5E66" w:rsidP="008242CE">
            <w:pPr>
              <w:rPr>
                <w:rFonts w:ascii="Arial" w:hAnsi="Arial" w:cs="Arial"/>
                <w:sz w:val="20"/>
                <w:szCs w:val="20"/>
              </w:rPr>
            </w:pPr>
          </w:p>
        </w:tc>
        <w:tc>
          <w:tcPr>
            <w:tcW w:w="6030" w:type="dxa"/>
          </w:tcPr>
          <w:p w14:paraId="518F1B82" w14:textId="77777777" w:rsidR="00675BEF" w:rsidRPr="004961F8" w:rsidRDefault="00675BEF">
            <w:pPr>
              <w:rPr>
                <w:rFonts w:ascii="Arial" w:hAnsi="Arial" w:cs="Arial"/>
                <w:sz w:val="20"/>
                <w:szCs w:val="20"/>
              </w:rPr>
            </w:pPr>
            <w:r w:rsidRPr="004961F8">
              <w:rPr>
                <w:rFonts w:ascii="Arial" w:hAnsi="Arial" w:cs="Arial"/>
                <w:sz w:val="20"/>
                <w:szCs w:val="20"/>
              </w:rPr>
              <w:t>Please include 7% indirect costs</w:t>
            </w:r>
            <w:r w:rsidR="009E7F14" w:rsidRPr="004961F8">
              <w:rPr>
                <w:rFonts w:ascii="Arial" w:hAnsi="Arial" w:cs="Arial"/>
                <w:sz w:val="20"/>
                <w:szCs w:val="20"/>
              </w:rPr>
              <w:t xml:space="preserve"> (recovery cost) in the budget</w:t>
            </w:r>
            <w:r w:rsidR="00067CB1" w:rsidRPr="004961F8">
              <w:rPr>
                <w:rFonts w:ascii="Arial" w:hAnsi="Arial" w:cs="Arial"/>
                <w:sz w:val="20"/>
                <w:szCs w:val="20"/>
              </w:rPr>
              <w:t>.</w:t>
            </w:r>
          </w:p>
          <w:p w14:paraId="7A1F2FAD" w14:textId="77777777" w:rsidR="00BE708B" w:rsidRPr="004961F8" w:rsidRDefault="00BE708B">
            <w:pPr>
              <w:rPr>
                <w:rFonts w:ascii="Arial" w:hAnsi="Arial" w:cs="Arial"/>
                <w:sz w:val="20"/>
                <w:szCs w:val="20"/>
              </w:rPr>
            </w:pPr>
          </w:p>
          <w:p w14:paraId="1974FDCE" w14:textId="20928720" w:rsidR="0070448D" w:rsidRPr="004961F8" w:rsidRDefault="0070448D">
            <w:pPr>
              <w:rPr>
                <w:rFonts w:ascii="Arial" w:hAnsi="Arial" w:cs="Arial"/>
                <w:sz w:val="20"/>
                <w:szCs w:val="20"/>
              </w:rPr>
            </w:pPr>
            <w:r w:rsidRPr="004961F8">
              <w:rPr>
                <w:rFonts w:ascii="Arial" w:hAnsi="Arial" w:cs="Arial"/>
                <w:sz w:val="20"/>
                <w:szCs w:val="20"/>
              </w:rPr>
              <w:t xml:space="preserve">Make a decision how UNICEF will </w:t>
            </w:r>
            <w:r w:rsidR="00C82D3C" w:rsidRPr="004961F8">
              <w:rPr>
                <w:rFonts w:ascii="Arial" w:hAnsi="Arial" w:cs="Arial"/>
                <w:sz w:val="20"/>
                <w:szCs w:val="20"/>
              </w:rPr>
              <w:t xml:space="preserve">include </w:t>
            </w:r>
            <w:r w:rsidR="00C82D3C" w:rsidRPr="004961F8">
              <w:rPr>
                <w:rFonts w:ascii="Arial" w:hAnsi="Arial" w:cs="Arial"/>
                <w:b/>
                <w:sz w:val="20"/>
                <w:szCs w:val="20"/>
              </w:rPr>
              <w:t>direct</w:t>
            </w:r>
            <w:r w:rsidR="00A6033D" w:rsidRPr="004961F8">
              <w:rPr>
                <w:rFonts w:ascii="Arial" w:hAnsi="Arial" w:cs="Arial"/>
                <w:sz w:val="20"/>
                <w:szCs w:val="20"/>
              </w:rPr>
              <w:t xml:space="preserve"> </w:t>
            </w:r>
            <w:r w:rsidRPr="004961F8">
              <w:rPr>
                <w:rFonts w:ascii="Arial" w:hAnsi="Arial" w:cs="Arial"/>
                <w:b/>
                <w:sz w:val="20"/>
                <w:szCs w:val="20"/>
              </w:rPr>
              <w:t>programme support costs</w:t>
            </w:r>
            <w:r w:rsidRPr="004961F8">
              <w:rPr>
                <w:rFonts w:ascii="Arial" w:hAnsi="Arial" w:cs="Arial"/>
                <w:sz w:val="20"/>
                <w:szCs w:val="20"/>
              </w:rPr>
              <w:t xml:space="preserve"> in </w:t>
            </w:r>
            <w:r w:rsidR="004961F8">
              <w:rPr>
                <w:rFonts w:ascii="Arial" w:hAnsi="Arial" w:cs="Arial"/>
                <w:sz w:val="20"/>
                <w:szCs w:val="20"/>
              </w:rPr>
              <w:t>the projects. T</w:t>
            </w:r>
            <w:r w:rsidR="004961F8" w:rsidRPr="004961F8">
              <w:rPr>
                <w:rFonts w:ascii="Arial" w:hAnsi="Arial" w:cs="Arial"/>
                <w:sz w:val="20"/>
                <w:szCs w:val="20"/>
              </w:rPr>
              <w:t>hey must</w:t>
            </w:r>
            <w:r w:rsidRPr="004961F8">
              <w:rPr>
                <w:rFonts w:ascii="Arial" w:hAnsi="Arial" w:cs="Arial"/>
                <w:sz w:val="20"/>
                <w:szCs w:val="20"/>
              </w:rPr>
              <w:t xml:space="preserve"> be incorporated into</w:t>
            </w:r>
            <w:r w:rsidR="004961F8">
              <w:rPr>
                <w:rFonts w:ascii="Arial" w:hAnsi="Arial" w:cs="Arial"/>
                <w:sz w:val="20"/>
                <w:szCs w:val="20"/>
              </w:rPr>
              <w:t xml:space="preserve"> programme budget lines </w:t>
            </w:r>
            <w:r w:rsidRPr="004961F8">
              <w:rPr>
                <w:rFonts w:ascii="Arial" w:hAnsi="Arial" w:cs="Arial"/>
                <w:sz w:val="20"/>
                <w:szCs w:val="20"/>
              </w:rPr>
              <w:t>as these are part of the costs of running programmes</w:t>
            </w:r>
            <w:r w:rsidR="00A6033D" w:rsidRPr="004961F8">
              <w:rPr>
                <w:rFonts w:ascii="Arial" w:hAnsi="Arial" w:cs="Arial"/>
                <w:sz w:val="20"/>
                <w:szCs w:val="20"/>
              </w:rPr>
              <w:t xml:space="preserve">; they can be included in category G (general and operating and other direct costs) if they cannot be conveniently included within another category. </w:t>
            </w:r>
          </w:p>
          <w:p w14:paraId="3839885A" w14:textId="77777777" w:rsidR="00454F39" w:rsidRPr="004961F8" w:rsidRDefault="00454F39" w:rsidP="00454F39">
            <w:pPr>
              <w:rPr>
                <w:rFonts w:ascii="Arial" w:hAnsi="Arial" w:cs="Arial"/>
                <w:sz w:val="20"/>
                <w:szCs w:val="20"/>
              </w:rPr>
            </w:pPr>
          </w:p>
          <w:p w14:paraId="1230A73C" w14:textId="1E35A832" w:rsidR="00454F39" w:rsidRPr="004961F8" w:rsidRDefault="00454F39" w:rsidP="00454F39">
            <w:pPr>
              <w:rPr>
                <w:rFonts w:ascii="Arial" w:hAnsi="Arial" w:cs="Arial"/>
                <w:b/>
                <w:sz w:val="20"/>
                <w:szCs w:val="20"/>
              </w:rPr>
            </w:pPr>
            <w:r w:rsidRPr="004961F8">
              <w:rPr>
                <w:rFonts w:ascii="Arial" w:hAnsi="Arial" w:cs="Arial"/>
                <w:b/>
                <w:sz w:val="20"/>
                <w:szCs w:val="20"/>
              </w:rPr>
              <w:t>Specific changes to budget category</w:t>
            </w:r>
            <w:r w:rsidR="00C82D3C" w:rsidRPr="004961F8">
              <w:rPr>
                <w:rFonts w:ascii="Arial" w:hAnsi="Arial" w:cs="Arial"/>
                <w:b/>
                <w:sz w:val="20"/>
                <w:szCs w:val="20"/>
              </w:rPr>
              <w:t xml:space="preserve"> </w:t>
            </w:r>
            <w:r w:rsidR="00C82D3C" w:rsidRPr="004961F8">
              <w:rPr>
                <w:rFonts w:ascii="Arial" w:hAnsi="Arial" w:cs="Arial"/>
                <w:sz w:val="20"/>
                <w:szCs w:val="20"/>
              </w:rPr>
              <w:t xml:space="preserve">Refer to the </w:t>
            </w:r>
            <w:hyperlink r:id="rId12" w:history="1">
              <w:r w:rsidR="00C82D3C" w:rsidRPr="004961F8">
                <w:rPr>
                  <w:rStyle w:val="Hyperlink"/>
                  <w:rFonts w:ascii="Arial" w:hAnsi="Arial" w:cs="Arial"/>
                  <w:sz w:val="20"/>
                  <w:szCs w:val="20"/>
                </w:rPr>
                <w:t>CERF website</w:t>
              </w:r>
            </w:hyperlink>
            <w:r w:rsidR="00C82D3C" w:rsidRPr="004961F8">
              <w:rPr>
                <w:rFonts w:ascii="Arial" w:hAnsi="Arial" w:cs="Arial"/>
                <w:sz w:val="20"/>
                <w:szCs w:val="20"/>
              </w:rPr>
              <w:t xml:space="preserve"> for the revised application template</w:t>
            </w:r>
            <w:r w:rsidR="005C5E66" w:rsidRPr="004961F8">
              <w:rPr>
                <w:rFonts w:ascii="Arial" w:hAnsi="Arial" w:cs="Arial"/>
                <w:b/>
                <w:sz w:val="20"/>
                <w:szCs w:val="20"/>
              </w:rPr>
              <w:t xml:space="preserve">: </w:t>
            </w:r>
          </w:p>
          <w:p w14:paraId="6F8C67A9" w14:textId="70623F29" w:rsidR="00454F39" w:rsidRPr="004961F8" w:rsidRDefault="00454F39" w:rsidP="00454F39">
            <w:pPr>
              <w:rPr>
                <w:rFonts w:ascii="Arial" w:hAnsi="Arial" w:cs="Arial"/>
                <w:sz w:val="20"/>
                <w:szCs w:val="20"/>
              </w:rPr>
            </w:pPr>
            <w:r w:rsidRPr="004961F8">
              <w:rPr>
                <w:rFonts w:ascii="Arial" w:hAnsi="Arial" w:cs="Arial"/>
                <w:sz w:val="20"/>
                <w:szCs w:val="20"/>
                <w:u w:val="single"/>
              </w:rPr>
              <w:t>Budget category B.</w:t>
            </w:r>
            <w:r w:rsidRPr="004961F8">
              <w:rPr>
                <w:rFonts w:ascii="Arial" w:hAnsi="Arial" w:cs="Arial"/>
                <w:sz w:val="20"/>
                <w:szCs w:val="20"/>
              </w:rPr>
              <w:t xml:space="preserve"> Personnel (staff, consultants, travel) has been separated into t</w:t>
            </w:r>
            <w:r w:rsidR="001C426F" w:rsidRPr="004961F8">
              <w:rPr>
                <w:rFonts w:ascii="Arial" w:hAnsi="Arial" w:cs="Arial"/>
                <w:sz w:val="20"/>
                <w:szCs w:val="20"/>
              </w:rPr>
              <w:t>hree</w:t>
            </w:r>
            <w:r w:rsidRPr="004961F8">
              <w:rPr>
                <w:rFonts w:ascii="Arial" w:hAnsi="Arial" w:cs="Arial"/>
                <w:sz w:val="20"/>
                <w:szCs w:val="20"/>
              </w:rPr>
              <w:t xml:space="preserve"> categories in the new format - category A. Staff and other personnel costs</w:t>
            </w:r>
            <w:r w:rsidR="001C426F" w:rsidRPr="004961F8">
              <w:rPr>
                <w:rFonts w:ascii="Arial" w:hAnsi="Arial" w:cs="Arial"/>
                <w:sz w:val="20"/>
                <w:szCs w:val="20"/>
              </w:rPr>
              <w:t>, D. Contractual Services</w:t>
            </w:r>
            <w:r w:rsidRPr="004961F8">
              <w:rPr>
                <w:rFonts w:ascii="Arial" w:hAnsi="Arial" w:cs="Arial"/>
                <w:sz w:val="20"/>
                <w:szCs w:val="20"/>
              </w:rPr>
              <w:t xml:space="preserve"> and category E. Travel.</w:t>
            </w:r>
          </w:p>
          <w:p w14:paraId="7871A771" w14:textId="02784049" w:rsidR="00454F39" w:rsidRPr="004961F8" w:rsidRDefault="00454F39" w:rsidP="00454F39">
            <w:pPr>
              <w:rPr>
                <w:rFonts w:ascii="Arial" w:hAnsi="Arial" w:cs="Arial"/>
                <w:sz w:val="20"/>
                <w:szCs w:val="20"/>
              </w:rPr>
            </w:pPr>
            <w:r w:rsidRPr="004961F8">
              <w:rPr>
                <w:rFonts w:ascii="Arial" w:hAnsi="Arial" w:cs="Arial"/>
                <w:sz w:val="20"/>
                <w:szCs w:val="20"/>
                <w:u w:val="single"/>
              </w:rPr>
              <w:t>Budget category D.</w:t>
            </w:r>
            <w:r w:rsidRPr="004961F8">
              <w:rPr>
                <w:rFonts w:ascii="Arial" w:hAnsi="Arial" w:cs="Arial"/>
                <w:sz w:val="20"/>
                <w:szCs w:val="20"/>
              </w:rPr>
              <w:t xml:space="preserve"> Contracts has also been separated into two categories in the new format - D. Contractual Services and F. Transfers and Grants to Counterparts</w:t>
            </w:r>
            <w:r w:rsidR="00C82D3C" w:rsidRPr="004961F8">
              <w:rPr>
                <w:rFonts w:ascii="Arial" w:hAnsi="Arial" w:cs="Arial"/>
                <w:sz w:val="20"/>
                <w:szCs w:val="20"/>
              </w:rPr>
              <w:t xml:space="preserve"> (through PCA’s/SSA’s/contracts  etc)</w:t>
            </w:r>
            <w:r w:rsidRPr="004961F8">
              <w:rPr>
                <w:rFonts w:ascii="Arial" w:hAnsi="Arial" w:cs="Arial"/>
                <w:sz w:val="20"/>
                <w:szCs w:val="20"/>
              </w:rPr>
              <w:t xml:space="preserve">.  </w:t>
            </w:r>
          </w:p>
          <w:p w14:paraId="3B318D5E" w14:textId="6C778161" w:rsidR="00454F39" w:rsidRPr="004961F8" w:rsidRDefault="00454F39" w:rsidP="00454F39">
            <w:pPr>
              <w:rPr>
                <w:rFonts w:ascii="Arial" w:hAnsi="Arial" w:cs="Arial"/>
                <w:sz w:val="20"/>
                <w:szCs w:val="20"/>
              </w:rPr>
            </w:pPr>
            <w:r w:rsidRPr="004961F8">
              <w:rPr>
                <w:rFonts w:ascii="Arial" w:hAnsi="Arial" w:cs="Arial"/>
                <w:sz w:val="20"/>
                <w:szCs w:val="20"/>
                <w:u w:val="single"/>
              </w:rPr>
              <w:t>The new category G.</w:t>
            </w:r>
            <w:r w:rsidRPr="004961F8">
              <w:rPr>
                <w:rFonts w:ascii="Arial" w:hAnsi="Arial" w:cs="Arial"/>
                <w:sz w:val="20"/>
                <w:szCs w:val="20"/>
              </w:rPr>
              <w:t xml:space="preserve"> General Operating and Other Direct </w:t>
            </w:r>
            <w:r w:rsidR="00C82D3C" w:rsidRPr="004961F8">
              <w:rPr>
                <w:rFonts w:ascii="Arial" w:hAnsi="Arial" w:cs="Arial"/>
                <w:sz w:val="20"/>
                <w:szCs w:val="20"/>
              </w:rPr>
              <w:t>Costs better</w:t>
            </w:r>
            <w:r w:rsidRPr="004961F8">
              <w:rPr>
                <w:rFonts w:ascii="Arial" w:hAnsi="Arial" w:cs="Arial"/>
                <w:sz w:val="20"/>
                <w:szCs w:val="20"/>
              </w:rPr>
              <w:t xml:space="preserve"> clarifies where to include general operating costs which was unclear in the previous format.  </w:t>
            </w:r>
          </w:p>
          <w:p w14:paraId="7709179A" w14:textId="77777777" w:rsidR="00454F39" w:rsidRPr="004961F8" w:rsidRDefault="00454F39" w:rsidP="00454F39">
            <w:pPr>
              <w:rPr>
                <w:rFonts w:ascii="Arial" w:hAnsi="Arial" w:cs="Arial"/>
                <w:sz w:val="20"/>
                <w:szCs w:val="20"/>
              </w:rPr>
            </w:pPr>
          </w:p>
          <w:p w14:paraId="32DB6196" w14:textId="1A43FFD6" w:rsidR="009E7F14" w:rsidRPr="004961F8" w:rsidRDefault="00454F39">
            <w:pPr>
              <w:rPr>
                <w:rFonts w:ascii="Arial" w:hAnsi="Arial" w:cs="Arial"/>
                <w:sz w:val="20"/>
                <w:szCs w:val="20"/>
              </w:rPr>
            </w:pPr>
            <w:r w:rsidRPr="004961F8">
              <w:rPr>
                <w:rFonts w:ascii="Arial" w:hAnsi="Arial" w:cs="Arial"/>
                <w:sz w:val="20"/>
                <w:szCs w:val="20"/>
              </w:rPr>
              <w:t>The new format does not include 'Training of counterparts', as in the previous template. Training should now be budgeted in the new categories according to the type of cost incurred (e.g. if the training is directly implemented by the agency, the costs should be budgeted under the categories A. staff, B. supplies and material and C. contractual services, according to the nature of these costs. If implemented through a partner, the costs should be budgeted in categories F. transfer</w:t>
            </w:r>
            <w:r w:rsidR="001C426F" w:rsidRPr="004961F8">
              <w:rPr>
                <w:rFonts w:ascii="Arial" w:hAnsi="Arial" w:cs="Arial"/>
                <w:sz w:val="20"/>
                <w:szCs w:val="20"/>
              </w:rPr>
              <w:t>s</w:t>
            </w:r>
            <w:r w:rsidRPr="004961F8">
              <w:rPr>
                <w:rFonts w:ascii="Arial" w:hAnsi="Arial" w:cs="Arial"/>
                <w:sz w:val="20"/>
                <w:szCs w:val="20"/>
              </w:rPr>
              <w:t xml:space="preserve"> and grant to counterparts).</w:t>
            </w:r>
          </w:p>
        </w:tc>
      </w:tr>
      <w:tr w:rsidR="00664339" w:rsidRPr="004961F8" w14:paraId="6DB4D6B3" w14:textId="77777777" w:rsidTr="008D4AB5">
        <w:tc>
          <w:tcPr>
            <w:tcW w:w="540" w:type="dxa"/>
          </w:tcPr>
          <w:p w14:paraId="78C4C13D" w14:textId="77777777" w:rsidR="00675387" w:rsidRPr="004961F8" w:rsidRDefault="00F740DA" w:rsidP="00ED1653">
            <w:pPr>
              <w:rPr>
                <w:rFonts w:ascii="Arial" w:hAnsi="Arial" w:cs="Arial"/>
                <w:b/>
                <w:sz w:val="20"/>
                <w:szCs w:val="20"/>
              </w:rPr>
            </w:pPr>
            <w:r w:rsidRPr="004961F8">
              <w:rPr>
                <w:rFonts w:ascii="Arial" w:hAnsi="Arial" w:cs="Arial"/>
                <w:b/>
                <w:sz w:val="20"/>
                <w:szCs w:val="20"/>
              </w:rPr>
              <w:t>4</w:t>
            </w:r>
          </w:p>
        </w:tc>
        <w:tc>
          <w:tcPr>
            <w:tcW w:w="2070" w:type="dxa"/>
          </w:tcPr>
          <w:p w14:paraId="2F36366D" w14:textId="77777777" w:rsidR="00675387" w:rsidRPr="004961F8" w:rsidRDefault="00675387" w:rsidP="00C06560">
            <w:pPr>
              <w:rPr>
                <w:rFonts w:ascii="Arial" w:hAnsi="Arial" w:cs="Arial"/>
                <w:b/>
                <w:sz w:val="20"/>
                <w:szCs w:val="20"/>
              </w:rPr>
            </w:pPr>
            <w:r w:rsidRPr="004961F8">
              <w:rPr>
                <w:rFonts w:ascii="Arial" w:hAnsi="Arial" w:cs="Arial"/>
                <w:b/>
                <w:sz w:val="20"/>
                <w:szCs w:val="20"/>
              </w:rPr>
              <w:t>Financial reporting</w:t>
            </w:r>
            <w:r w:rsidRPr="004961F8">
              <w:rPr>
                <w:rFonts w:ascii="Arial" w:hAnsi="Arial" w:cs="Arial"/>
                <w:sz w:val="20"/>
                <w:szCs w:val="20"/>
              </w:rPr>
              <w:t xml:space="preserve"> – </w:t>
            </w:r>
          </w:p>
        </w:tc>
        <w:tc>
          <w:tcPr>
            <w:tcW w:w="5490" w:type="dxa"/>
          </w:tcPr>
          <w:p w14:paraId="4DD2B16A" w14:textId="77777777" w:rsidR="00675387" w:rsidRPr="004961F8" w:rsidRDefault="00C06560">
            <w:pPr>
              <w:rPr>
                <w:rFonts w:ascii="Arial" w:hAnsi="Arial" w:cs="Arial"/>
                <w:sz w:val="20"/>
                <w:szCs w:val="20"/>
              </w:rPr>
            </w:pPr>
            <w:r w:rsidRPr="004961F8">
              <w:rPr>
                <w:rFonts w:ascii="Arial" w:hAnsi="Arial" w:cs="Arial"/>
                <w:sz w:val="20"/>
                <w:szCs w:val="20"/>
              </w:rPr>
              <w:t xml:space="preserve">For </w:t>
            </w:r>
            <w:r w:rsidRPr="004961F8">
              <w:rPr>
                <w:rFonts w:ascii="Arial" w:hAnsi="Arial" w:cs="Arial"/>
                <w:sz w:val="20"/>
                <w:szCs w:val="20"/>
                <w:u w:val="single"/>
              </w:rPr>
              <w:t>Ra</w:t>
            </w:r>
            <w:r w:rsidR="00BC56D3" w:rsidRPr="004961F8">
              <w:rPr>
                <w:rFonts w:ascii="Arial" w:hAnsi="Arial" w:cs="Arial"/>
                <w:sz w:val="20"/>
                <w:szCs w:val="20"/>
                <w:u w:val="single"/>
              </w:rPr>
              <w:t>p</w:t>
            </w:r>
            <w:r w:rsidRPr="004961F8">
              <w:rPr>
                <w:rFonts w:ascii="Arial" w:hAnsi="Arial" w:cs="Arial"/>
                <w:sz w:val="20"/>
                <w:szCs w:val="20"/>
                <w:u w:val="single"/>
              </w:rPr>
              <w:t>id Response</w:t>
            </w:r>
            <w:r w:rsidRPr="004961F8">
              <w:rPr>
                <w:rFonts w:ascii="Arial" w:hAnsi="Arial" w:cs="Arial"/>
                <w:sz w:val="20"/>
                <w:szCs w:val="20"/>
              </w:rPr>
              <w:t xml:space="preserve"> projects </w:t>
            </w:r>
            <w:r w:rsidR="00A449B2" w:rsidRPr="004961F8">
              <w:rPr>
                <w:rFonts w:ascii="Arial" w:hAnsi="Arial" w:cs="Arial"/>
                <w:sz w:val="20"/>
                <w:szCs w:val="20"/>
              </w:rPr>
              <w:t>with an implementation end date between 1 January and 30</w:t>
            </w:r>
            <w:r w:rsidR="0084402F" w:rsidRPr="004961F8">
              <w:rPr>
                <w:rFonts w:ascii="Arial" w:hAnsi="Arial" w:cs="Arial"/>
                <w:sz w:val="20"/>
                <w:szCs w:val="20"/>
              </w:rPr>
              <w:t xml:space="preserve"> J</w:t>
            </w:r>
            <w:r w:rsidR="00A449B2" w:rsidRPr="004961F8">
              <w:rPr>
                <w:rFonts w:ascii="Arial" w:hAnsi="Arial" w:cs="Arial"/>
                <w:sz w:val="20"/>
                <w:szCs w:val="20"/>
              </w:rPr>
              <w:t xml:space="preserve">une of </w:t>
            </w:r>
            <w:r w:rsidR="0084402F" w:rsidRPr="004961F8">
              <w:rPr>
                <w:rFonts w:ascii="Arial" w:hAnsi="Arial" w:cs="Arial"/>
                <w:sz w:val="20"/>
                <w:szCs w:val="20"/>
              </w:rPr>
              <w:t>a given year,</w:t>
            </w:r>
            <w:r w:rsidRPr="004961F8">
              <w:rPr>
                <w:rFonts w:ascii="Arial" w:hAnsi="Arial" w:cs="Arial"/>
                <w:sz w:val="20"/>
                <w:szCs w:val="20"/>
              </w:rPr>
              <w:t xml:space="preserve"> interim financial report</w:t>
            </w:r>
            <w:r w:rsidR="0084402F" w:rsidRPr="004961F8">
              <w:rPr>
                <w:rFonts w:ascii="Arial" w:hAnsi="Arial" w:cs="Arial"/>
                <w:sz w:val="20"/>
                <w:szCs w:val="20"/>
              </w:rPr>
              <w:t>s</w:t>
            </w:r>
            <w:r w:rsidRPr="004961F8">
              <w:rPr>
                <w:rFonts w:ascii="Arial" w:hAnsi="Arial" w:cs="Arial"/>
                <w:sz w:val="20"/>
                <w:szCs w:val="20"/>
              </w:rPr>
              <w:t xml:space="preserve"> </w:t>
            </w:r>
            <w:r w:rsidRPr="004961F8">
              <w:rPr>
                <w:rFonts w:ascii="Arial" w:hAnsi="Arial" w:cs="Arial"/>
                <w:sz w:val="20"/>
                <w:szCs w:val="20"/>
                <w:u w:val="single"/>
              </w:rPr>
              <w:t xml:space="preserve">from agency </w:t>
            </w:r>
            <w:r w:rsidR="00300464" w:rsidRPr="004961F8">
              <w:rPr>
                <w:rFonts w:ascii="Arial" w:hAnsi="Arial" w:cs="Arial"/>
                <w:sz w:val="20"/>
                <w:szCs w:val="20"/>
                <w:u w:val="single"/>
              </w:rPr>
              <w:t xml:space="preserve">HQ </w:t>
            </w:r>
            <w:r w:rsidR="00300464" w:rsidRPr="004961F8">
              <w:rPr>
                <w:rFonts w:ascii="Arial" w:hAnsi="Arial" w:cs="Arial"/>
                <w:sz w:val="20"/>
                <w:szCs w:val="20"/>
              </w:rPr>
              <w:t>will</w:t>
            </w:r>
            <w:r w:rsidRPr="004961F8">
              <w:rPr>
                <w:rFonts w:ascii="Arial" w:hAnsi="Arial" w:cs="Arial"/>
                <w:sz w:val="20"/>
                <w:szCs w:val="20"/>
              </w:rPr>
              <w:t xml:space="preserve"> be submitted </w:t>
            </w:r>
            <w:r w:rsidR="0084402F" w:rsidRPr="004961F8">
              <w:rPr>
                <w:rFonts w:ascii="Arial" w:hAnsi="Arial" w:cs="Arial"/>
                <w:sz w:val="20"/>
                <w:szCs w:val="20"/>
              </w:rPr>
              <w:t xml:space="preserve">by 15 August of the same year </w:t>
            </w:r>
            <w:r w:rsidRPr="004961F8">
              <w:rPr>
                <w:rFonts w:ascii="Arial" w:hAnsi="Arial" w:cs="Arial"/>
                <w:sz w:val="20"/>
                <w:szCs w:val="20"/>
              </w:rPr>
              <w:t xml:space="preserve">(previously </w:t>
            </w:r>
            <w:r w:rsidR="00BC56D3" w:rsidRPr="004961F8">
              <w:rPr>
                <w:rFonts w:ascii="Arial" w:hAnsi="Arial" w:cs="Arial"/>
                <w:sz w:val="20"/>
                <w:szCs w:val="20"/>
              </w:rPr>
              <w:t>reporting was at 31 December only</w:t>
            </w:r>
            <w:r w:rsidRPr="004961F8">
              <w:rPr>
                <w:rFonts w:ascii="Arial" w:hAnsi="Arial" w:cs="Arial"/>
                <w:sz w:val="20"/>
                <w:szCs w:val="20"/>
              </w:rPr>
              <w:t>).</w:t>
            </w:r>
            <w:r w:rsidR="00750419" w:rsidRPr="004961F8">
              <w:rPr>
                <w:rFonts w:ascii="Arial" w:hAnsi="Arial" w:cs="Arial"/>
                <w:sz w:val="20"/>
                <w:szCs w:val="20"/>
              </w:rPr>
              <w:t xml:space="preserve">  For projects with an implementation end date between 1 July and 31 December of any given year, interim financial reports as at 31 December will be submitted by 15 February of the following year.</w:t>
            </w:r>
          </w:p>
        </w:tc>
        <w:tc>
          <w:tcPr>
            <w:tcW w:w="6030" w:type="dxa"/>
          </w:tcPr>
          <w:p w14:paraId="26ED03BB" w14:textId="77777777" w:rsidR="00675387" w:rsidRPr="004961F8" w:rsidRDefault="00BC56D3" w:rsidP="00F740DA">
            <w:pPr>
              <w:rPr>
                <w:rFonts w:ascii="Arial" w:hAnsi="Arial" w:cs="Arial"/>
                <w:sz w:val="20"/>
                <w:szCs w:val="20"/>
              </w:rPr>
            </w:pPr>
            <w:r w:rsidRPr="004961F8">
              <w:rPr>
                <w:rFonts w:ascii="Arial" w:hAnsi="Arial" w:cs="Arial"/>
                <w:sz w:val="20"/>
                <w:szCs w:val="20"/>
              </w:rPr>
              <w:t>Strong project management and prompt ordering of supplies will help ensure high implementation rates in interim reports</w:t>
            </w:r>
            <w:r w:rsidR="00BE708B" w:rsidRPr="004961F8">
              <w:rPr>
                <w:rFonts w:ascii="Arial" w:hAnsi="Arial" w:cs="Arial"/>
                <w:sz w:val="20"/>
                <w:szCs w:val="20"/>
              </w:rPr>
              <w:t xml:space="preserve"> and further advocacy with CERF for future funding</w:t>
            </w:r>
            <w:r w:rsidRPr="004961F8">
              <w:rPr>
                <w:rFonts w:ascii="Arial" w:hAnsi="Arial" w:cs="Arial"/>
                <w:sz w:val="20"/>
                <w:szCs w:val="20"/>
              </w:rPr>
              <w:t xml:space="preserve">.  </w:t>
            </w:r>
            <w:r w:rsidR="00562713" w:rsidRPr="004961F8">
              <w:rPr>
                <w:rFonts w:ascii="Arial" w:hAnsi="Arial" w:cs="Arial"/>
                <w:sz w:val="20"/>
                <w:szCs w:val="20"/>
              </w:rPr>
              <w:t xml:space="preserve"> </w:t>
            </w:r>
          </w:p>
        </w:tc>
      </w:tr>
      <w:tr w:rsidR="00664339" w:rsidRPr="004961F8" w14:paraId="4F5296C2" w14:textId="77777777" w:rsidTr="008D4AB5">
        <w:tc>
          <w:tcPr>
            <w:tcW w:w="540" w:type="dxa"/>
          </w:tcPr>
          <w:p w14:paraId="4D9D92F4" w14:textId="77777777" w:rsidR="00ED1653" w:rsidRPr="004961F8" w:rsidRDefault="00F740DA" w:rsidP="00ED1653">
            <w:pPr>
              <w:rPr>
                <w:rFonts w:ascii="Arial" w:hAnsi="Arial" w:cs="Arial"/>
                <w:b/>
                <w:sz w:val="20"/>
                <w:szCs w:val="20"/>
              </w:rPr>
            </w:pPr>
            <w:r w:rsidRPr="004961F8">
              <w:rPr>
                <w:rFonts w:ascii="Arial" w:hAnsi="Arial" w:cs="Arial"/>
                <w:b/>
                <w:sz w:val="20"/>
                <w:szCs w:val="20"/>
              </w:rPr>
              <w:lastRenderedPageBreak/>
              <w:t>5</w:t>
            </w:r>
          </w:p>
        </w:tc>
        <w:tc>
          <w:tcPr>
            <w:tcW w:w="2070" w:type="dxa"/>
          </w:tcPr>
          <w:p w14:paraId="311B7348" w14:textId="6BCAAAA7" w:rsidR="00ED1653" w:rsidRPr="004961F8" w:rsidRDefault="00ED1653" w:rsidP="00C06560">
            <w:pPr>
              <w:rPr>
                <w:rFonts w:ascii="Arial" w:hAnsi="Arial" w:cs="Arial"/>
                <w:sz w:val="20"/>
                <w:szCs w:val="20"/>
              </w:rPr>
            </w:pPr>
            <w:r w:rsidRPr="004961F8">
              <w:rPr>
                <w:rFonts w:ascii="Arial" w:hAnsi="Arial" w:cs="Arial"/>
                <w:b/>
                <w:sz w:val="20"/>
                <w:szCs w:val="20"/>
              </w:rPr>
              <w:t xml:space="preserve">Substantive </w:t>
            </w:r>
            <w:r w:rsidR="0082019F">
              <w:rPr>
                <w:rFonts w:ascii="Arial" w:hAnsi="Arial" w:cs="Arial"/>
                <w:b/>
                <w:sz w:val="20"/>
                <w:szCs w:val="20"/>
              </w:rPr>
              <w:t xml:space="preserve">(narrative) </w:t>
            </w:r>
            <w:r w:rsidRPr="004961F8">
              <w:rPr>
                <w:rFonts w:ascii="Arial" w:hAnsi="Arial" w:cs="Arial"/>
                <w:b/>
                <w:sz w:val="20"/>
                <w:szCs w:val="20"/>
              </w:rPr>
              <w:t>reporting</w:t>
            </w:r>
            <w:r w:rsidR="00562713" w:rsidRPr="004961F8">
              <w:rPr>
                <w:rFonts w:ascii="Arial" w:hAnsi="Arial" w:cs="Arial"/>
                <w:sz w:val="20"/>
                <w:szCs w:val="20"/>
              </w:rPr>
              <w:t xml:space="preserve"> </w:t>
            </w:r>
          </w:p>
        </w:tc>
        <w:tc>
          <w:tcPr>
            <w:tcW w:w="5490" w:type="dxa"/>
          </w:tcPr>
          <w:p w14:paraId="0522666E" w14:textId="41A6E1ED" w:rsidR="00ED1653" w:rsidRPr="00E858AB" w:rsidRDefault="00CA446D" w:rsidP="0082019F">
            <w:pPr>
              <w:rPr>
                <w:rFonts w:ascii="Arial" w:hAnsi="Arial" w:cs="Arial"/>
                <w:sz w:val="20"/>
                <w:szCs w:val="20"/>
                <w:lang w:val="en-GB"/>
              </w:rPr>
            </w:pPr>
            <w:r>
              <w:rPr>
                <w:rFonts w:ascii="Arial" w:hAnsi="Arial" w:cs="Arial"/>
                <w:sz w:val="20"/>
                <w:szCs w:val="20"/>
                <w:lang w:val="en-GB"/>
              </w:rPr>
              <w:t>At the field level - narrative reporting on CERF projects</w:t>
            </w:r>
            <w:r w:rsidR="00E858AB">
              <w:rPr>
                <w:rFonts w:ascii="Arial" w:hAnsi="Arial" w:cs="Arial"/>
                <w:sz w:val="20"/>
                <w:szCs w:val="20"/>
                <w:lang w:val="en-GB"/>
              </w:rPr>
              <w:t>is submitted to</w:t>
            </w:r>
            <w:r>
              <w:rPr>
                <w:rFonts w:ascii="Arial" w:hAnsi="Arial" w:cs="Arial"/>
                <w:sz w:val="20"/>
                <w:szCs w:val="20"/>
                <w:lang w:val="en-GB"/>
              </w:rPr>
              <w:t xml:space="preserve"> the RC/HC. </w:t>
            </w:r>
            <w:r w:rsidR="0046731C" w:rsidRPr="0046731C">
              <w:rPr>
                <w:rFonts w:ascii="Arial" w:hAnsi="Arial" w:cs="Arial"/>
                <w:sz w:val="20"/>
                <w:szCs w:val="20"/>
                <w:lang w:val="en-GB"/>
              </w:rPr>
              <w:t>On 28 August 2013, the CERF secretariat informed us about changes to the CERF reporting (for narrative reports) schedule announcing a shift from the fixed 15 March deadline for submission of Resident/Humanitarian Coordinator (RC/HC) CERF reports to a rolling model with individual deadlines 3 months after the expiration of each CERF grant</w:t>
            </w:r>
            <w:r w:rsidR="0046731C">
              <w:rPr>
                <w:rFonts w:ascii="Arial" w:hAnsi="Arial" w:cs="Arial"/>
                <w:sz w:val="20"/>
                <w:szCs w:val="20"/>
                <w:lang w:val="en-GB"/>
              </w:rPr>
              <w:t>.</w:t>
            </w:r>
          </w:p>
        </w:tc>
        <w:tc>
          <w:tcPr>
            <w:tcW w:w="6030" w:type="dxa"/>
          </w:tcPr>
          <w:p w14:paraId="13C03233" w14:textId="4583DF96" w:rsidR="00ED1653" w:rsidRPr="004961F8" w:rsidRDefault="004B3815" w:rsidP="005F3995">
            <w:pPr>
              <w:rPr>
                <w:rFonts w:ascii="Arial" w:hAnsi="Arial" w:cs="Arial"/>
                <w:sz w:val="20"/>
                <w:szCs w:val="20"/>
              </w:rPr>
            </w:pPr>
            <w:r w:rsidRPr="004961F8">
              <w:rPr>
                <w:rFonts w:ascii="Arial" w:hAnsi="Arial" w:cs="Arial"/>
                <w:sz w:val="20"/>
                <w:szCs w:val="20"/>
              </w:rPr>
              <w:t xml:space="preserve">This will require </w:t>
            </w:r>
            <w:r w:rsidR="00857919" w:rsidRPr="004961F8">
              <w:rPr>
                <w:rFonts w:ascii="Arial" w:hAnsi="Arial" w:cs="Arial"/>
                <w:sz w:val="20"/>
                <w:szCs w:val="20"/>
              </w:rPr>
              <w:t>strong M &amp; E systems in place</w:t>
            </w:r>
            <w:r w:rsidR="005F3995" w:rsidRPr="004961F8">
              <w:rPr>
                <w:rFonts w:ascii="Arial" w:hAnsi="Arial" w:cs="Arial"/>
                <w:sz w:val="20"/>
                <w:szCs w:val="20"/>
              </w:rPr>
              <w:t>.</w:t>
            </w:r>
            <w:r w:rsidR="0046731C">
              <w:rPr>
                <w:rFonts w:ascii="Arial" w:hAnsi="Arial" w:cs="Arial"/>
                <w:sz w:val="20"/>
                <w:szCs w:val="20"/>
              </w:rPr>
              <w:t xml:space="preserve"> </w:t>
            </w:r>
            <w:r w:rsidR="00CA446D">
              <w:rPr>
                <w:rFonts w:ascii="Arial" w:hAnsi="Arial" w:cs="Arial"/>
                <w:sz w:val="20"/>
                <w:szCs w:val="20"/>
                <w:lang w:val="en-GB"/>
              </w:rPr>
              <w:t>CO/RO to use the standard narrative reporting template</w:t>
            </w:r>
            <w:r w:rsidR="0082019F">
              <w:rPr>
                <w:rFonts w:ascii="Arial" w:hAnsi="Arial" w:cs="Arial"/>
                <w:sz w:val="20"/>
                <w:szCs w:val="20"/>
                <w:lang w:val="en-GB"/>
              </w:rPr>
              <w:t xml:space="preserve"> provided by RC/HC</w:t>
            </w:r>
            <w:r w:rsidR="00CA446D">
              <w:rPr>
                <w:rFonts w:ascii="Arial" w:hAnsi="Arial" w:cs="Arial"/>
                <w:sz w:val="20"/>
                <w:szCs w:val="20"/>
                <w:lang w:val="en-GB"/>
              </w:rPr>
              <w:t xml:space="preserve">.  </w:t>
            </w:r>
          </w:p>
        </w:tc>
      </w:tr>
      <w:tr w:rsidR="00664339" w:rsidRPr="004961F8" w14:paraId="588B7103" w14:textId="77777777" w:rsidTr="008D4AB5">
        <w:tc>
          <w:tcPr>
            <w:tcW w:w="540" w:type="dxa"/>
          </w:tcPr>
          <w:p w14:paraId="2E6E6E37" w14:textId="77777777" w:rsidR="00ED1653" w:rsidRPr="004961F8" w:rsidRDefault="00F740DA">
            <w:pPr>
              <w:rPr>
                <w:rFonts w:ascii="Arial" w:hAnsi="Arial" w:cs="Arial"/>
                <w:b/>
                <w:sz w:val="20"/>
                <w:szCs w:val="20"/>
              </w:rPr>
            </w:pPr>
            <w:r w:rsidRPr="004961F8">
              <w:rPr>
                <w:rFonts w:ascii="Arial" w:hAnsi="Arial" w:cs="Arial"/>
                <w:b/>
                <w:sz w:val="20"/>
                <w:szCs w:val="20"/>
              </w:rPr>
              <w:t>6</w:t>
            </w:r>
          </w:p>
        </w:tc>
        <w:tc>
          <w:tcPr>
            <w:tcW w:w="2070" w:type="dxa"/>
          </w:tcPr>
          <w:p w14:paraId="5D86F05F" w14:textId="77777777" w:rsidR="00ED1653" w:rsidRPr="004961F8" w:rsidRDefault="00ED1653" w:rsidP="00C06560">
            <w:pPr>
              <w:rPr>
                <w:rFonts w:ascii="Arial" w:hAnsi="Arial" w:cs="Arial"/>
                <w:sz w:val="20"/>
                <w:szCs w:val="20"/>
              </w:rPr>
            </w:pPr>
            <w:r w:rsidRPr="004961F8">
              <w:rPr>
                <w:rFonts w:ascii="Arial" w:hAnsi="Arial" w:cs="Arial"/>
                <w:b/>
                <w:sz w:val="20"/>
                <w:szCs w:val="20"/>
              </w:rPr>
              <w:t>Pre</w:t>
            </w:r>
            <w:r w:rsidRPr="004961F8">
              <w:rPr>
                <w:rFonts w:ascii="Arial" w:hAnsi="Arial" w:cs="Arial"/>
                <w:sz w:val="20"/>
                <w:szCs w:val="20"/>
              </w:rPr>
              <w:t>-</w:t>
            </w:r>
            <w:r w:rsidRPr="004961F8">
              <w:rPr>
                <w:rFonts w:ascii="Arial" w:hAnsi="Arial" w:cs="Arial"/>
                <w:b/>
                <w:sz w:val="20"/>
                <w:szCs w:val="20"/>
              </w:rPr>
              <w:t xml:space="preserve">financing </w:t>
            </w:r>
            <w:r w:rsidRPr="004961F8">
              <w:rPr>
                <w:rFonts w:ascii="Arial" w:hAnsi="Arial" w:cs="Arial"/>
                <w:sz w:val="20"/>
                <w:szCs w:val="20"/>
              </w:rPr>
              <w:t>–</w:t>
            </w:r>
          </w:p>
        </w:tc>
        <w:tc>
          <w:tcPr>
            <w:tcW w:w="5490" w:type="dxa"/>
          </w:tcPr>
          <w:p w14:paraId="1CC055CA" w14:textId="77777777" w:rsidR="00ED1653" w:rsidRPr="004961F8" w:rsidRDefault="00901744" w:rsidP="00901744">
            <w:pPr>
              <w:rPr>
                <w:rFonts w:ascii="Arial" w:hAnsi="Arial" w:cs="Arial"/>
                <w:sz w:val="20"/>
                <w:szCs w:val="20"/>
              </w:rPr>
            </w:pPr>
            <w:r w:rsidRPr="004961F8">
              <w:rPr>
                <w:rFonts w:ascii="Arial" w:hAnsi="Arial" w:cs="Arial"/>
                <w:color w:val="000000"/>
                <w:sz w:val="20"/>
                <w:szCs w:val="20"/>
                <w:lang w:val="en-GB"/>
              </w:rPr>
              <w:t xml:space="preserve">Project start dates will remain as the date of the disbursement of funds from the CERF to the recipient UN agency headquarters. An earlier start date could be specified on the CERF application and approved by the Emergency Relief Coordination (ERC) for Rapid Response grants, up to a </w:t>
            </w:r>
            <w:r w:rsidRPr="004961F8">
              <w:rPr>
                <w:rFonts w:ascii="Arial" w:hAnsi="Arial" w:cs="Arial"/>
                <w:color w:val="000000"/>
                <w:sz w:val="20"/>
                <w:szCs w:val="20"/>
                <w:u w:val="single"/>
                <w:lang w:val="en-GB"/>
              </w:rPr>
              <w:t>maximum period of up to 6 weeks</w:t>
            </w:r>
            <w:r w:rsidRPr="004961F8">
              <w:rPr>
                <w:rFonts w:ascii="Arial" w:hAnsi="Arial" w:cs="Arial"/>
                <w:color w:val="000000"/>
                <w:sz w:val="20"/>
                <w:szCs w:val="20"/>
                <w:lang w:val="en-GB"/>
              </w:rPr>
              <w:t xml:space="preserve"> prior to the date of CERF disbursement, and not before the date of the onset of the emergency. </w:t>
            </w:r>
          </w:p>
        </w:tc>
        <w:tc>
          <w:tcPr>
            <w:tcW w:w="6030" w:type="dxa"/>
          </w:tcPr>
          <w:p w14:paraId="19A7E1BB" w14:textId="65FA123B" w:rsidR="00ED1653" w:rsidRPr="004961F8" w:rsidRDefault="00BE708B" w:rsidP="002004B4">
            <w:pPr>
              <w:rPr>
                <w:rFonts w:ascii="Arial" w:hAnsi="Arial" w:cs="Arial"/>
                <w:sz w:val="20"/>
                <w:szCs w:val="20"/>
              </w:rPr>
            </w:pPr>
            <w:r w:rsidRPr="004961F8">
              <w:rPr>
                <w:rFonts w:ascii="Arial" w:hAnsi="Arial" w:cs="Arial"/>
                <w:sz w:val="20"/>
                <w:szCs w:val="20"/>
              </w:rPr>
              <w:t xml:space="preserve"> </w:t>
            </w:r>
            <w:r w:rsidR="002004B4" w:rsidRPr="004961F8">
              <w:rPr>
                <w:rFonts w:ascii="Arial" w:hAnsi="Arial" w:cs="Arial"/>
                <w:sz w:val="20"/>
                <w:szCs w:val="20"/>
              </w:rPr>
              <w:t>In order to be able to reverse funds against expenditures already under-taken for the emergency (for EPF or RR funds etc)  please indicate an earlier i</w:t>
            </w:r>
            <w:r w:rsidRPr="004961F8">
              <w:rPr>
                <w:rFonts w:ascii="Arial" w:hAnsi="Arial" w:cs="Arial"/>
                <w:sz w:val="20"/>
                <w:szCs w:val="20"/>
              </w:rPr>
              <w:t xml:space="preserve">mplementation start date of CERF </w:t>
            </w:r>
            <w:r w:rsidR="00E95CEE" w:rsidRPr="004961F8">
              <w:rPr>
                <w:rFonts w:ascii="Arial" w:hAnsi="Arial" w:cs="Arial"/>
                <w:sz w:val="20"/>
                <w:szCs w:val="20"/>
              </w:rPr>
              <w:t>funded activities in Part 111</w:t>
            </w:r>
            <w:r w:rsidR="00F63EF7" w:rsidRPr="004961F8">
              <w:rPr>
                <w:rFonts w:ascii="Arial" w:hAnsi="Arial" w:cs="Arial"/>
                <w:sz w:val="20"/>
                <w:szCs w:val="20"/>
              </w:rPr>
              <w:t>,</w:t>
            </w:r>
            <w:r w:rsidR="00E95CEE" w:rsidRPr="004961F8">
              <w:rPr>
                <w:rFonts w:ascii="Arial" w:hAnsi="Arial" w:cs="Arial"/>
                <w:sz w:val="20"/>
                <w:szCs w:val="20"/>
              </w:rPr>
              <w:t xml:space="preserve"> 6B</w:t>
            </w:r>
            <w:r w:rsidR="002004B4" w:rsidRPr="004961F8">
              <w:rPr>
                <w:rFonts w:ascii="Arial" w:hAnsi="Arial" w:cs="Arial"/>
                <w:sz w:val="20"/>
                <w:szCs w:val="20"/>
              </w:rPr>
              <w:t xml:space="preserve"> of the Application Template</w:t>
            </w:r>
            <w:r w:rsidR="00300464" w:rsidRPr="004961F8">
              <w:rPr>
                <w:rFonts w:ascii="Arial" w:hAnsi="Arial" w:cs="Arial"/>
                <w:sz w:val="20"/>
                <w:szCs w:val="20"/>
              </w:rPr>
              <w:t xml:space="preserve">. </w:t>
            </w:r>
            <w:r w:rsidR="0094479D" w:rsidRPr="004961F8">
              <w:rPr>
                <w:rFonts w:ascii="Arial" w:hAnsi="Arial" w:cs="Arial"/>
                <w:sz w:val="20"/>
                <w:szCs w:val="20"/>
              </w:rPr>
              <w:t xml:space="preserve">Note that </w:t>
            </w:r>
            <w:r w:rsidR="002004B4" w:rsidRPr="004961F8">
              <w:rPr>
                <w:rFonts w:ascii="Arial" w:hAnsi="Arial" w:cs="Arial"/>
                <w:sz w:val="20"/>
                <w:szCs w:val="20"/>
              </w:rPr>
              <w:t xml:space="preserve">this </w:t>
            </w:r>
            <w:r w:rsidR="0094479D" w:rsidRPr="004961F8">
              <w:rPr>
                <w:rFonts w:ascii="Arial" w:hAnsi="Arial" w:cs="Arial"/>
                <w:sz w:val="20"/>
                <w:szCs w:val="20"/>
              </w:rPr>
              <w:t xml:space="preserve">is </w:t>
            </w:r>
            <w:r w:rsidR="002004B4" w:rsidRPr="004961F8">
              <w:rPr>
                <w:rFonts w:ascii="Arial" w:hAnsi="Arial" w:cs="Arial"/>
                <w:sz w:val="20"/>
                <w:szCs w:val="20"/>
              </w:rPr>
              <w:t xml:space="preserve">only </w:t>
            </w:r>
            <w:r w:rsidR="0094479D" w:rsidRPr="004961F8">
              <w:rPr>
                <w:rFonts w:ascii="Arial" w:hAnsi="Arial" w:cs="Arial"/>
                <w:sz w:val="20"/>
                <w:szCs w:val="20"/>
              </w:rPr>
              <w:t>permissible to the beginning of a crisis</w:t>
            </w:r>
            <w:r w:rsidR="00886BA0" w:rsidRPr="004961F8">
              <w:rPr>
                <w:rFonts w:ascii="Arial" w:hAnsi="Arial" w:cs="Arial"/>
                <w:sz w:val="20"/>
                <w:szCs w:val="20"/>
              </w:rPr>
              <w:t xml:space="preserve"> (max </w:t>
            </w:r>
            <w:r w:rsidR="002004B4" w:rsidRPr="004961F8">
              <w:rPr>
                <w:rFonts w:ascii="Arial" w:hAnsi="Arial" w:cs="Arial"/>
                <w:sz w:val="20"/>
                <w:szCs w:val="20"/>
              </w:rPr>
              <w:t>4-</w:t>
            </w:r>
            <w:r w:rsidR="00886BA0" w:rsidRPr="004961F8">
              <w:rPr>
                <w:rFonts w:ascii="Arial" w:hAnsi="Arial" w:cs="Arial"/>
                <w:sz w:val="20"/>
                <w:szCs w:val="20"/>
              </w:rPr>
              <w:t xml:space="preserve">6 weeks prior to CERF disbursement) </w:t>
            </w:r>
            <w:r w:rsidR="0094479D" w:rsidRPr="004961F8">
              <w:rPr>
                <w:rFonts w:ascii="Arial" w:hAnsi="Arial" w:cs="Arial"/>
                <w:sz w:val="20"/>
                <w:szCs w:val="20"/>
              </w:rPr>
              <w:t xml:space="preserve">; or an escalation of a protracted crisis. </w:t>
            </w:r>
          </w:p>
        </w:tc>
      </w:tr>
      <w:tr w:rsidR="0043638A" w:rsidRPr="004961F8" w14:paraId="37AA2D96" w14:textId="77777777" w:rsidTr="008D4AB5">
        <w:tc>
          <w:tcPr>
            <w:tcW w:w="540" w:type="dxa"/>
          </w:tcPr>
          <w:p w14:paraId="787B7520" w14:textId="77777777" w:rsidR="0043638A" w:rsidRPr="004961F8" w:rsidRDefault="0043638A">
            <w:pPr>
              <w:rPr>
                <w:rFonts w:ascii="Arial" w:hAnsi="Arial" w:cs="Arial"/>
                <w:b/>
                <w:sz w:val="20"/>
                <w:szCs w:val="20"/>
              </w:rPr>
            </w:pPr>
            <w:r w:rsidRPr="004961F8">
              <w:rPr>
                <w:rFonts w:ascii="Arial" w:hAnsi="Arial" w:cs="Arial"/>
                <w:b/>
                <w:sz w:val="20"/>
                <w:szCs w:val="20"/>
              </w:rPr>
              <w:t>7</w:t>
            </w:r>
          </w:p>
        </w:tc>
        <w:tc>
          <w:tcPr>
            <w:tcW w:w="2070" w:type="dxa"/>
          </w:tcPr>
          <w:p w14:paraId="33494230" w14:textId="77777777" w:rsidR="0043638A" w:rsidRPr="004961F8" w:rsidRDefault="0043638A" w:rsidP="00C06560">
            <w:pPr>
              <w:rPr>
                <w:rFonts w:ascii="Arial" w:hAnsi="Arial" w:cs="Arial"/>
                <w:b/>
                <w:sz w:val="20"/>
                <w:szCs w:val="20"/>
              </w:rPr>
            </w:pPr>
            <w:r w:rsidRPr="004961F8">
              <w:rPr>
                <w:rFonts w:ascii="Arial" w:hAnsi="Arial" w:cs="Arial"/>
                <w:b/>
                <w:sz w:val="20"/>
                <w:szCs w:val="20"/>
              </w:rPr>
              <w:t xml:space="preserve">Disbursement to NGO partners </w:t>
            </w:r>
          </w:p>
        </w:tc>
        <w:tc>
          <w:tcPr>
            <w:tcW w:w="5490" w:type="dxa"/>
          </w:tcPr>
          <w:p w14:paraId="033A86BA" w14:textId="34BAC63A" w:rsidR="0043638A" w:rsidRPr="004961F8" w:rsidRDefault="006943AB" w:rsidP="005A5DE2">
            <w:pPr>
              <w:rPr>
                <w:rFonts w:ascii="Arial" w:hAnsi="Arial" w:cs="Arial"/>
                <w:color w:val="000000"/>
                <w:sz w:val="20"/>
                <w:szCs w:val="20"/>
                <w:lang w:val="en-GB"/>
              </w:rPr>
            </w:pPr>
            <w:r w:rsidRPr="004961F8">
              <w:rPr>
                <w:rFonts w:ascii="Arial" w:hAnsi="Arial" w:cs="Arial"/>
                <w:color w:val="000000"/>
                <w:sz w:val="20"/>
                <w:szCs w:val="20"/>
                <w:lang w:val="en-GB"/>
              </w:rPr>
              <w:t>UN agencies receiving CERF grants rely to a significant extent on partners, such as NGOs, for the implementation of CERF</w:t>
            </w:r>
            <w:r w:rsidRPr="004961F8">
              <w:rPr>
                <w:rFonts w:ascii="Cambria Math" w:hAnsi="Cambria Math" w:cs="Cambria Math"/>
                <w:color w:val="000000"/>
                <w:sz w:val="20"/>
                <w:szCs w:val="20"/>
                <w:lang w:val="en-GB"/>
              </w:rPr>
              <w:t>‐</w:t>
            </w:r>
            <w:r w:rsidRPr="004961F8">
              <w:rPr>
                <w:rFonts w:ascii="Arial" w:hAnsi="Arial" w:cs="Arial"/>
                <w:color w:val="000000"/>
                <w:sz w:val="20"/>
                <w:szCs w:val="20"/>
                <w:lang w:val="en-GB"/>
              </w:rPr>
              <w:t>funded projects. Therefore, the speed at which agencies sub</w:t>
            </w:r>
            <w:r w:rsidRPr="004961F8">
              <w:rPr>
                <w:rFonts w:ascii="Cambria Math" w:hAnsi="Cambria Math" w:cs="Cambria Math"/>
                <w:color w:val="000000"/>
                <w:sz w:val="20"/>
                <w:szCs w:val="20"/>
                <w:lang w:val="en-GB"/>
              </w:rPr>
              <w:t>‐</w:t>
            </w:r>
            <w:r w:rsidRPr="004961F8">
              <w:rPr>
                <w:rFonts w:ascii="Arial" w:hAnsi="Arial" w:cs="Arial"/>
                <w:color w:val="000000"/>
                <w:sz w:val="20"/>
                <w:szCs w:val="20"/>
                <w:lang w:val="en-GB"/>
              </w:rPr>
              <w:t>grant funds to NGOs and other implementing partners (IPs) is considered to be a factor in determining the timeliness and effectiveness of CERF</w:t>
            </w:r>
            <w:r w:rsidRPr="004961F8">
              <w:rPr>
                <w:rFonts w:ascii="Cambria Math" w:hAnsi="Cambria Math" w:cs="Cambria Math"/>
                <w:color w:val="000000"/>
                <w:sz w:val="20"/>
                <w:szCs w:val="20"/>
                <w:lang w:val="en-GB"/>
              </w:rPr>
              <w:t>‐</w:t>
            </w:r>
            <w:r w:rsidRPr="004961F8">
              <w:rPr>
                <w:rFonts w:ascii="Arial" w:hAnsi="Arial" w:cs="Arial"/>
                <w:color w:val="000000"/>
                <w:sz w:val="20"/>
                <w:szCs w:val="20"/>
                <w:lang w:val="en-GB"/>
              </w:rPr>
              <w:t>funded projects and, to a degree, of the CERF. This concern is not exclusive to the CERF but part of the broader UN/NGO partnership</w:t>
            </w:r>
            <w:r w:rsidR="005A5DE2">
              <w:rPr>
                <w:rFonts w:ascii="Arial" w:hAnsi="Arial" w:cs="Arial"/>
                <w:color w:val="000000"/>
                <w:sz w:val="20"/>
                <w:szCs w:val="20"/>
                <w:lang w:val="en-GB"/>
              </w:rPr>
              <w:t xml:space="preserve"> i</w:t>
            </w:r>
            <w:r w:rsidRPr="004961F8">
              <w:rPr>
                <w:rFonts w:ascii="Arial" w:hAnsi="Arial" w:cs="Arial"/>
                <w:color w:val="000000"/>
                <w:sz w:val="20"/>
                <w:szCs w:val="20"/>
                <w:lang w:val="en-GB"/>
              </w:rPr>
              <w:t xml:space="preserve">ssue. </w:t>
            </w:r>
            <w:r w:rsidR="00CF15F1" w:rsidRPr="004961F8">
              <w:rPr>
                <w:rFonts w:ascii="Arial" w:hAnsi="Arial" w:cs="Arial"/>
                <w:color w:val="000000"/>
                <w:sz w:val="20"/>
                <w:szCs w:val="20"/>
                <w:lang w:val="en-GB"/>
              </w:rPr>
              <w:t xml:space="preserve">The CERF 5 Year Evaluation noted that </w:t>
            </w:r>
            <w:r w:rsidRPr="004961F8">
              <w:rPr>
                <w:rFonts w:ascii="Arial" w:hAnsi="Arial" w:cs="Arial"/>
                <w:color w:val="000000"/>
                <w:sz w:val="20"/>
                <w:szCs w:val="20"/>
                <w:lang w:val="en-GB"/>
              </w:rPr>
              <w:t>the average disbursement to NGO</w:t>
            </w:r>
            <w:r w:rsidR="00CF15F1" w:rsidRPr="004961F8">
              <w:rPr>
                <w:rFonts w:ascii="Arial" w:hAnsi="Arial" w:cs="Arial"/>
                <w:color w:val="000000"/>
                <w:sz w:val="20"/>
                <w:szCs w:val="20"/>
                <w:lang w:val="en-GB"/>
              </w:rPr>
              <w:t xml:space="preserve">s </w:t>
            </w:r>
            <w:r w:rsidRPr="004961F8">
              <w:rPr>
                <w:rFonts w:ascii="Arial" w:hAnsi="Arial" w:cs="Arial"/>
                <w:color w:val="000000"/>
                <w:sz w:val="20"/>
                <w:szCs w:val="20"/>
                <w:lang w:val="en-GB"/>
              </w:rPr>
              <w:t>i</w:t>
            </w:r>
            <w:r w:rsidR="00CF15F1" w:rsidRPr="004961F8">
              <w:rPr>
                <w:rFonts w:ascii="Arial" w:hAnsi="Arial" w:cs="Arial"/>
                <w:color w:val="000000"/>
                <w:sz w:val="20"/>
                <w:szCs w:val="20"/>
                <w:lang w:val="en-GB"/>
              </w:rPr>
              <w:t xml:space="preserve">s </w:t>
            </w:r>
            <w:r w:rsidRPr="004961F8">
              <w:rPr>
                <w:rFonts w:ascii="Arial" w:hAnsi="Arial" w:cs="Arial"/>
                <w:color w:val="000000"/>
                <w:sz w:val="20"/>
                <w:szCs w:val="20"/>
                <w:lang w:val="en-GB"/>
              </w:rPr>
              <w:t>slow - an average of 50 working days. UNICEF</w:t>
            </w:r>
            <w:r w:rsidR="001A1CCB" w:rsidRPr="004961F8">
              <w:rPr>
                <w:rFonts w:ascii="Arial" w:hAnsi="Arial" w:cs="Arial"/>
                <w:color w:val="000000"/>
                <w:sz w:val="20"/>
                <w:szCs w:val="20"/>
                <w:lang w:val="en-GB"/>
              </w:rPr>
              <w:t>’</w:t>
            </w:r>
            <w:r w:rsidRPr="004961F8">
              <w:rPr>
                <w:rFonts w:ascii="Arial" w:hAnsi="Arial" w:cs="Arial"/>
                <w:color w:val="000000"/>
                <w:sz w:val="20"/>
                <w:szCs w:val="20"/>
                <w:lang w:val="en-GB"/>
              </w:rPr>
              <w:t>s average was 56 days.</w:t>
            </w:r>
          </w:p>
        </w:tc>
        <w:tc>
          <w:tcPr>
            <w:tcW w:w="6030" w:type="dxa"/>
          </w:tcPr>
          <w:p w14:paraId="774F48D6" w14:textId="4AFB5E10" w:rsidR="004961F8" w:rsidRPr="004961F8" w:rsidRDefault="00A6033D" w:rsidP="00E858AB">
            <w:pPr>
              <w:rPr>
                <w:rFonts w:ascii="Arial" w:hAnsi="Arial" w:cs="Arial"/>
                <w:sz w:val="20"/>
                <w:szCs w:val="20"/>
                <w:lang w:val="en-GB"/>
              </w:rPr>
            </w:pPr>
            <w:r w:rsidRPr="004961F8">
              <w:rPr>
                <w:rFonts w:ascii="Arial" w:hAnsi="Arial" w:cs="Arial"/>
                <w:sz w:val="20"/>
                <w:szCs w:val="20"/>
                <w:lang w:val="en-GB"/>
              </w:rPr>
              <w:t>New PCA guidance requires that all PCAs be launched in less than 30 days (and less in emergencies) and that this benchmark is tracked and reported on</w:t>
            </w:r>
            <w:r w:rsidR="004961F8" w:rsidRPr="004961F8">
              <w:rPr>
                <w:rFonts w:ascii="Arial" w:hAnsi="Arial" w:cs="Arial"/>
                <w:sz w:val="20"/>
                <w:szCs w:val="20"/>
                <w:lang w:val="en-GB"/>
              </w:rPr>
              <w:t xml:space="preserve"> (</w:t>
            </w:r>
            <w:r w:rsidR="004961F8" w:rsidRPr="004961F8">
              <w:rPr>
                <w:rFonts w:ascii="Arial" w:hAnsi="Arial" w:cs="Arial"/>
                <w:color w:val="FF0000"/>
                <w:sz w:val="20"/>
                <w:szCs w:val="20"/>
                <w:lang w:val="en-GB"/>
              </w:rPr>
              <w:t>the new guidance will be posted on the intranet</w:t>
            </w:r>
            <w:r w:rsidR="004961F8" w:rsidRPr="004961F8">
              <w:rPr>
                <w:rFonts w:ascii="Arial" w:hAnsi="Arial" w:cs="Arial"/>
                <w:sz w:val="20"/>
                <w:szCs w:val="20"/>
                <w:lang w:val="en-GB"/>
              </w:rPr>
              <w:t>)</w:t>
            </w:r>
            <w:r w:rsidRPr="004961F8">
              <w:rPr>
                <w:rFonts w:ascii="Arial" w:hAnsi="Arial" w:cs="Arial"/>
                <w:sz w:val="20"/>
                <w:szCs w:val="20"/>
                <w:lang w:val="en-GB"/>
              </w:rPr>
              <w:t>.</w:t>
            </w:r>
          </w:p>
        </w:tc>
      </w:tr>
      <w:tr w:rsidR="008D3687" w:rsidRPr="004961F8" w14:paraId="76E61BBC" w14:textId="77777777" w:rsidTr="008D4AB5">
        <w:tc>
          <w:tcPr>
            <w:tcW w:w="540" w:type="dxa"/>
          </w:tcPr>
          <w:p w14:paraId="6084F4B4" w14:textId="078F0636" w:rsidR="008D3687" w:rsidRPr="004961F8" w:rsidRDefault="00CA446D">
            <w:pPr>
              <w:rPr>
                <w:rFonts w:ascii="Arial" w:hAnsi="Arial" w:cs="Arial"/>
                <w:b/>
                <w:sz w:val="20"/>
                <w:szCs w:val="20"/>
              </w:rPr>
            </w:pPr>
            <w:r>
              <w:rPr>
                <w:rFonts w:ascii="Arial" w:hAnsi="Arial" w:cs="Arial"/>
                <w:b/>
                <w:sz w:val="20"/>
                <w:szCs w:val="20"/>
              </w:rPr>
              <w:t>8</w:t>
            </w:r>
          </w:p>
        </w:tc>
        <w:tc>
          <w:tcPr>
            <w:tcW w:w="2070" w:type="dxa"/>
          </w:tcPr>
          <w:p w14:paraId="67AC8C49" w14:textId="1A6A6AEC" w:rsidR="008D3687" w:rsidRPr="004961F8" w:rsidRDefault="00E64660" w:rsidP="00C06560">
            <w:pPr>
              <w:rPr>
                <w:rFonts w:ascii="Arial" w:hAnsi="Arial" w:cs="Arial"/>
                <w:b/>
                <w:sz w:val="20"/>
                <w:szCs w:val="20"/>
              </w:rPr>
            </w:pPr>
            <w:r>
              <w:rPr>
                <w:rFonts w:ascii="Arial" w:hAnsi="Arial" w:cs="Arial"/>
                <w:b/>
                <w:sz w:val="20"/>
                <w:szCs w:val="20"/>
              </w:rPr>
              <w:t>Visibility</w:t>
            </w:r>
          </w:p>
        </w:tc>
        <w:tc>
          <w:tcPr>
            <w:tcW w:w="5490" w:type="dxa"/>
          </w:tcPr>
          <w:p w14:paraId="618EAE26" w14:textId="6267AE93" w:rsidR="008D3687" w:rsidRPr="00817762" w:rsidRDefault="00817762" w:rsidP="00682012">
            <w:pPr>
              <w:rPr>
                <w:rFonts w:ascii="Arial" w:hAnsi="Arial" w:cs="Arial"/>
                <w:color w:val="000000"/>
                <w:sz w:val="20"/>
                <w:szCs w:val="20"/>
                <w:lang w:val="en-GB"/>
              </w:rPr>
            </w:pPr>
            <w:r w:rsidRPr="00817762">
              <w:rPr>
                <w:rFonts w:ascii="Arial" w:hAnsi="Arial" w:cs="Arial"/>
                <w:sz w:val="20"/>
                <w:szCs w:val="20"/>
              </w:rPr>
              <w:t xml:space="preserve">UNICEF reports to show CERF’s contributions more clearly for visibility. </w:t>
            </w:r>
          </w:p>
        </w:tc>
        <w:tc>
          <w:tcPr>
            <w:tcW w:w="6030" w:type="dxa"/>
          </w:tcPr>
          <w:p w14:paraId="39BBDBA5" w14:textId="72BF0764" w:rsidR="008D3687" w:rsidRPr="004961F8" w:rsidRDefault="008D3687" w:rsidP="00867063">
            <w:pPr>
              <w:rPr>
                <w:rFonts w:ascii="Arial" w:hAnsi="Arial" w:cs="Arial"/>
                <w:sz w:val="20"/>
                <w:szCs w:val="20"/>
                <w:lang w:val="en-GB"/>
              </w:rPr>
            </w:pPr>
            <w:r>
              <w:rPr>
                <w:rFonts w:ascii="Arial" w:hAnsi="Arial" w:cs="Arial"/>
                <w:sz w:val="20"/>
                <w:szCs w:val="20"/>
                <w:lang w:val="en-GB"/>
              </w:rPr>
              <w:t>C</w:t>
            </w:r>
            <w:r w:rsidR="00C10BC2">
              <w:rPr>
                <w:rFonts w:ascii="Arial" w:hAnsi="Arial" w:cs="Arial"/>
                <w:sz w:val="20"/>
                <w:szCs w:val="20"/>
                <w:lang w:val="en-GB"/>
              </w:rPr>
              <w:t>O</w:t>
            </w:r>
            <w:r>
              <w:rPr>
                <w:rFonts w:ascii="Arial" w:hAnsi="Arial" w:cs="Arial"/>
                <w:sz w:val="20"/>
                <w:szCs w:val="20"/>
                <w:lang w:val="en-GB"/>
              </w:rPr>
              <w:t>s/ROs to share pictures</w:t>
            </w:r>
            <w:r w:rsidR="00682012">
              <w:rPr>
                <w:rFonts w:ascii="Arial" w:hAnsi="Arial" w:cs="Arial"/>
                <w:sz w:val="20"/>
                <w:szCs w:val="20"/>
                <w:lang w:val="en-GB"/>
              </w:rPr>
              <w:t xml:space="preserve"> </w:t>
            </w:r>
            <w:r w:rsidR="00867063">
              <w:rPr>
                <w:rFonts w:ascii="Arial" w:hAnsi="Arial" w:cs="Arial"/>
                <w:sz w:val="20"/>
                <w:szCs w:val="20"/>
                <w:lang w:val="en-GB"/>
              </w:rPr>
              <w:t>with</w:t>
            </w:r>
            <w:r w:rsidR="00682012">
              <w:rPr>
                <w:rFonts w:ascii="Arial" w:hAnsi="Arial" w:cs="Arial"/>
                <w:sz w:val="20"/>
                <w:szCs w:val="20"/>
                <w:lang w:val="en-GB"/>
              </w:rPr>
              <w:t xml:space="preserve"> Jalpa Ratna and Genet Yigezu.</w:t>
            </w:r>
            <w:r w:rsidR="00817762">
              <w:rPr>
                <w:rFonts w:ascii="Arial" w:hAnsi="Arial" w:cs="Arial"/>
                <w:sz w:val="20"/>
                <w:szCs w:val="20"/>
                <w:lang w:val="en-GB"/>
              </w:rPr>
              <w:t xml:space="preserve"> </w:t>
            </w:r>
          </w:p>
        </w:tc>
      </w:tr>
      <w:tr w:rsidR="008D3687" w:rsidRPr="004961F8" w14:paraId="0A476929" w14:textId="77777777" w:rsidTr="008D4AB5">
        <w:tc>
          <w:tcPr>
            <w:tcW w:w="540" w:type="dxa"/>
          </w:tcPr>
          <w:p w14:paraId="05B8689E" w14:textId="6F849405" w:rsidR="008D3687" w:rsidRDefault="00CA446D">
            <w:pPr>
              <w:rPr>
                <w:rFonts w:ascii="Arial" w:hAnsi="Arial" w:cs="Arial"/>
                <w:b/>
                <w:sz w:val="20"/>
                <w:szCs w:val="20"/>
              </w:rPr>
            </w:pPr>
            <w:r>
              <w:rPr>
                <w:rFonts w:ascii="Arial" w:hAnsi="Arial" w:cs="Arial"/>
                <w:b/>
                <w:sz w:val="20"/>
                <w:szCs w:val="20"/>
              </w:rPr>
              <w:t>9</w:t>
            </w:r>
          </w:p>
        </w:tc>
        <w:tc>
          <w:tcPr>
            <w:tcW w:w="2070" w:type="dxa"/>
          </w:tcPr>
          <w:p w14:paraId="0E921D7D" w14:textId="5C389299" w:rsidR="008D3687" w:rsidRDefault="008D3687" w:rsidP="00C06560">
            <w:pPr>
              <w:rPr>
                <w:rFonts w:ascii="Arial" w:hAnsi="Arial" w:cs="Arial"/>
                <w:b/>
                <w:sz w:val="20"/>
                <w:szCs w:val="20"/>
              </w:rPr>
            </w:pPr>
            <w:r>
              <w:rPr>
                <w:rFonts w:ascii="Arial" w:hAnsi="Arial" w:cs="Arial"/>
                <w:b/>
                <w:sz w:val="20"/>
                <w:szCs w:val="20"/>
              </w:rPr>
              <w:t>Evaluation</w:t>
            </w:r>
          </w:p>
        </w:tc>
        <w:tc>
          <w:tcPr>
            <w:tcW w:w="5490" w:type="dxa"/>
          </w:tcPr>
          <w:p w14:paraId="0E3C8816" w14:textId="7403AC47" w:rsidR="00A53043" w:rsidRPr="00B44A26" w:rsidRDefault="00A53043" w:rsidP="00A53043">
            <w:pPr>
              <w:rPr>
                <w:rFonts w:ascii="Arial" w:hAnsi="Arial" w:cs="Arial"/>
                <w:sz w:val="20"/>
                <w:szCs w:val="20"/>
              </w:rPr>
            </w:pPr>
            <w:r w:rsidRPr="00B44A26">
              <w:rPr>
                <w:rFonts w:ascii="Arial" w:hAnsi="Arial" w:cs="Arial"/>
                <w:sz w:val="20"/>
                <w:szCs w:val="20"/>
              </w:rPr>
              <w:t>Evaluations to incorporate CERF</w:t>
            </w:r>
            <w:r w:rsidR="00C10BC2" w:rsidRPr="00B44A26">
              <w:rPr>
                <w:rFonts w:ascii="Arial" w:hAnsi="Arial" w:cs="Arial"/>
                <w:sz w:val="20"/>
                <w:szCs w:val="20"/>
              </w:rPr>
              <w:t>/humanitarian financing</w:t>
            </w:r>
            <w:r w:rsidRPr="00B44A26">
              <w:rPr>
                <w:rFonts w:ascii="Arial" w:hAnsi="Arial" w:cs="Arial"/>
                <w:sz w:val="20"/>
                <w:szCs w:val="20"/>
              </w:rPr>
              <w:t xml:space="preserve"> related information. </w:t>
            </w:r>
          </w:p>
          <w:p w14:paraId="1681FEB5" w14:textId="77777777" w:rsidR="008D3687" w:rsidRPr="004961F8" w:rsidRDefault="008D3687" w:rsidP="005A5DE2">
            <w:pPr>
              <w:rPr>
                <w:rFonts w:ascii="Arial" w:hAnsi="Arial" w:cs="Arial"/>
                <w:color w:val="000000"/>
                <w:sz w:val="20"/>
                <w:szCs w:val="20"/>
                <w:lang w:val="en-GB"/>
              </w:rPr>
            </w:pPr>
          </w:p>
        </w:tc>
        <w:tc>
          <w:tcPr>
            <w:tcW w:w="6030" w:type="dxa"/>
          </w:tcPr>
          <w:p w14:paraId="1415255F" w14:textId="12E54D53" w:rsidR="008D3687" w:rsidRPr="004961F8" w:rsidRDefault="00C10BC2" w:rsidP="00C10BC2">
            <w:pPr>
              <w:rPr>
                <w:rFonts w:ascii="Arial" w:hAnsi="Arial" w:cs="Arial"/>
                <w:sz w:val="20"/>
                <w:szCs w:val="20"/>
                <w:lang w:val="en-GB"/>
              </w:rPr>
            </w:pPr>
            <w:r>
              <w:rPr>
                <w:rFonts w:ascii="Arial" w:hAnsi="Arial" w:cs="Arial"/>
                <w:sz w:val="20"/>
                <w:szCs w:val="20"/>
                <w:lang w:val="en-GB"/>
              </w:rPr>
              <w:t>COs to ensure that humanitarian financing questions are incorporated.</w:t>
            </w:r>
          </w:p>
        </w:tc>
      </w:tr>
    </w:tbl>
    <w:p w14:paraId="7F761507" w14:textId="77777777" w:rsidR="007445EA" w:rsidRDefault="007445EA" w:rsidP="00FC0F70">
      <w:pPr>
        <w:spacing w:after="0" w:line="240" w:lineRule="auto"/>
        <w:rPr>
          <w:rFonts w:ascii="Arial" w:hAnsi="Arial" w:cs="Arial"/>
          <w:sz w:val="20"/>
          <w:szCs w:val="20"/>
        </w:rPr>
      </w:pPr>
    </w:p>
    <w:p w14:paraId="05C21B8E" w14:textId="71602582" w:rsidR="00AA5CAF" w:rsidRDefault="00C14490" w:rsidP="00FC0F70">
      <w:pPr>
        <w:spacing w:after="0" w:line="240" w:lineRule="auto"/>
        <w:rPr>
          <w:rFonts w:ascii="Arial" w:hAnsi="Arial" w:cs="Arial"/>
          <w:sz w:val="20"/>
          <w:szCs w:val="20"/>
        </w:rPr>
      </w:pPr>
      <w:r w:rsidRPr="004961F8">
        <w:rPr>
          <w:rFonts w:ascii="Arial" w:hAnsi="Arial" w:cs="Arial"/>
          <w:sz w:val="20"/>
          <w:szCs w:val="20"/>
        </w:rPr>
        <w:t>For further information</w:t>
      </w:r>
      <w:r w:rsidR="00BE708B" w:rsidRPr="004961F8">
        <w:rPr>
          <w:rFonts w:ascii="Arial" w:hAnsi="Arial" w:cs="Arial"/>
          <w:sz w:val="20"/>
          <w:szCs w:val="20"/>
        </w:rPr>
        <w:t xml:space="preserve"> on the application process, please refer to the </w:t>
      </w:r>
      <w:hyperlink r:id="rId13" w:history="1">
        <w:r w:rsidR="00BE708B" w:rsidRPr="004961F8">
          <w:rPr>
            <w:rStyle w:val="Hyperlink"/>
            <w:rFonts w:ascii="Arial" w:hAnsi="Arial" w:cs="Arial"/>
            <w:sz w:val="20"/>
            <w:szCs w:val="20"/>
          </w:rPr>
          <w:t>guidance</w:t>
        </w:r>
      </w:hyperlink>
      <w:r w:rsidR="00BE708B" w:rsidRPr="004961F8">
        <w:rPr>
          <w:rFonts w:ascii="Arial" w:hAnsi="Arial" w:cs="Arial"/>
          <w:sz w:val="20"/>
          <w:szCs w:val="20"/>
        </w:rPr>
        <w:t xml:space="preserve"> on the CERF website: </w:t>
      </w:r>
      <w:hyperlink r:id="rId14" w:history="1">
        <w:r w:rsidR="00AA5CAF" w:rsidRPr="00790881">
          <w:rPr>
            <w:rStyle w:val="Hyperlink"/>
            <w:rFonts w:ascii="Arial" w:hAnsi="Arial" w:cs="Arial"/>
            <w:sz w:val="20"/>
            <w:szCs w:val="20"/>
          </w:rPr>
          <w:t>http://ochaonline.un.org/cerf/HowtoApply/CERFGuidance/tabid/5818/language/en-US/Default.aspxI</w:t>
        </w:r>
      </w:hyperlink>
    </w:p>
    <w:p w14:paraId="108BDA26" w14:textId="77777777" w:rsidR="00AA5CAF" w:rsidRDefault="00AA5CAF" w:rsidP="00FC0F70">
      <w:pPr>
        <w:spacing w:after="0" w:line="240" w:lineRule="auto"/>
        <w:rPr>
          <w:rFonts w:ascii="Arial" w:hAnsi="Arial" w:cs="Arial"/>
          <w:sz w:val="20"/>
          <w:szCs w:val="20"/>
        </w:rPr>
      </w:pPr>
    </w:p>
    <w:p w14:paraId="1A3E4535" w14:textId="0618B5A1" w:rsidR="00556FE8" w:rsidRPr="004961F8" w:rsidRDefault="00AA5CAF" w:rsidP="00556FE8">
      <w:pPr>
        <w:spacing w:after="0" w:line="240" w:lineRule="auto"/>
        <w:rPr>
          <w:rFonts w:ascii="Arial" w:hAnsi="Arial" w:cs="Arial"/>
          <w:sz w:val="20"/>
          <w:szCs w:val="20"/>
        </w:rPr>
      </w:pPr>
      <w:r>
        <w:rPr>
          <w:rFonts w:ascii="Arial" w:hAnsi="Arial" w:cs="Arial"/>
          <w:sz w:val="20"/>
          <w:szCs w:val="20"/>
        </w:rPr>
        <w:t>I</w:t>
      </w:r>
      <w:r w:rsidR="00C14490" w:rsidRPr="004961F8">
        <w:rPr>
          <w:rFonts w:ascii="Arial" w:hAnsi="Arial" w:cs="Arial"/>
          <w:sz w:val="20"/>
          <w:szCs w:val="20"/>
        </w:rPr>
        <w:t xml:space="preserve">f you have any further queries </w:t>
      </w:r>
      <w:r w:rsidR="0043638A" w:rsidRPr="004961F8">
        <w:rPr>
          <w:rFonts w:ascii="Arial" w:hAnsi="Arial" w:cs="Arial"/>
          <w:sz w:val="20"/>
          <w:szCs w:val="20"/>
        </w:rPr>
        <w:t>please contact</w:t>
      </w:r>
      <w:r>
        <w:rPr>
          <w:rFonts w:ascii="Arial" w:hAnsi="Arial" w:cs="Arial"/>
          <w:sz w:val="20"/>
          <w:szCs w:val="20"/>
        </w:rPr>
        <w:t xml:space="preserve"> your relevant </w:t>
      </w:r>
      <w:r w:rsidRPr="00AA5CAF">
        <w:rPr>
          <w:rFonts w:ascii="Arial" w:hAnsi="Arial" w:cs="Arial"/>
          <w:sz w:val="20"/>
          <w:szCs w:val="20"/>
        </w:rPr>
        <w:t xml:space="preserve">EMOPS </w:t>
      </w:r>
      <w:r w:rsidR="009A5188" w:rsidRPr="00AA5CAF">
        <w:rPr>
          <w:rFonts w:ascii="Arial" w:hAnsi="Arial" w:cs="Arial"/>
          <w:sz w:val="20"/>
          <w:szCs w:val="20"/>
        </w:rPr>
        <w:t xml:space="preserve">Humanitarian Field Support Section </w:t>
      </w:r>
      <w:r w:rsidRPr="00AA5CAF">
        <w:rPr>
          <w:rFonts w:ascii="Arial" w:hAnsi="Arial" w:cs="Arial"/>
          <w:sz w:val="20"/>
          <w:szCs w:val="20"/>
        </w:rPr>
        <w:t>focal point:</w:t>
      </w:r>
    </w:p>
    <w:p w14:paraId="52078690" w14:textId="77777777" w:rsidR="00AA5CAF" w:rsidRPr="00AA5CAF" w:rsidRDefault="00717527" w:rsidP="00AA5CAF">
      <w:pPr>
        <w:spacing w:after="0" w:line="240" w:lineRule="auto"/>
        <w:rPr>
          <w:rFonts w:eastAsiaTheme="minorEastAsia"/>
          <w:sz w:val="24"/>
          <w:szCs w:val="24"/>
          <w:lang w:eastAsia="ja-JP"/>
        </w:rPr>
      </w:pPr>
      <w:hyperlink r:id="rId15" w:history="1">
        <w:r w:rsidR="00AA5CAF" w:rsidRPr="00AA5CAF">
          <w:rPr>
            <w:rFonts w:eastAsiaTheme="minorEastAsia"/>
            <w:color w:val="0000FF"/>
            <w:sz w:val="24"/>
            <w:szCs w:val="24"/>
            <w:u w:val="single"/>
            <w:lang w:eastAsia="ja-JP"/>
          </w:rPr>
          <w:t>EMOPS Humanitarian Field Support Section Desk officers</w:t>
        </w:r>
      </w:hyperlink>
      <w:r w:rsidR="00AA5CAF" w:rsidRPr="00AA5CAF">
        <w:rPr>
          <w:rFonts w:eastAsiaTheme="minorEastAsia"/>
          <w:sz w:val="24"/>
          <w:szCs w:val="24"/>
          <w:lang w:eastAsia="ja-JP"/>
        </w:rPr>
        <w:t xml:space="preserve">. </w:t>
      </w:r>
    </w:p>
    <w:p w14:paraId="61F1B308" w14:textId="7CFC914A" w:rsidR="00556FE8" w:rsidRPr="00AA5CAF" w:rsidRDefault="00AA5CAF" w:rsidP="00FC0F70">
      <w:pPr>
        <w:spacing w:after="0" w:line="240" w:lineRule="auto"/>
        <w:rPr>
          <w:rFonts w:ascii="Arial" w:hAnsi="Arial" w:cs="Arial"/>
          <w:b/>
          <w:sz w:val="20"/>
          <w:szCs w:val="20"/>
          <w:lang w:val="en-GB"/>
        </w:rPr>
      </w:pPr>
      <w:r>
        <w:rPr>
          <w:rFonts w:ascii="Arial" w:hAnsi="Arial" w:cs="Arial"/>
          <w:b/>
          <w:sz w:val="20"/>
          <w:szCs w:val="20"/>
          <w:lang w:val="en-GB"/>
        </w:rPr>
        <w:t xml:space="preserve"> </w:t>
      </w:r>
    </w:p>
    <w:sectPr w:rsidR="00556FE8" w:rsidRPr="00AA5CAF" w:rsidSect="004961F8">
      <w:headerReference w:type="default" r:id="rId16"/>
      <w:footerReference w:type="default" r:id="rId17"/>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6D92B" w14:textId="77777777" w:rsidR="00717527" w:rsidRDefault="00717527" w:rsidP="005D3BA5">
      <w:pPr>
        <w:spacing w:after="0" w:line="240" w:lineRule="auto"/>
      </w:pPr>
      <w:r>
        <w:separator/>
      </w:r>
    </w:p>
  </w:endnote>
  <w:endnote w:type="continuationSeparator" w:id="0">
    <w:p w14:paraId="17455760" w14:textId="77777777" w:rsidR="00717527" w:rsidRDefault="00717527" w:rsidP="005D3BA5">
      <w:pPr>
        <w:spacing w:after="0" w:line="240" w:lineRule="auto"/>
      </w:pPr>
      <w:r>
        <w:continuationSeparator/>
      </w:r>
    </w:p>
  </w:endnote>
  <w:endnote w:type="continuationNotice" w:id="1">
    <w:p w14:paraId="5BF537EE" w14:textId="77777777" w:rsidR="00717527" w:rsidRDefault="00717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89342"/>
      <w:docPartObj>
        <w:docPartGallery w:val="Page Numbers (Bottom of Page)"/>
        <w:docPartUnique/>
      </w:docPartObj>
    </w:sdtPr>
    <w:sdtEndPr>
      <w:rPr>
        <w:noProof/>
      </w:rPr>
    </w:sdtEndPr>
    <w:sdtContent>
      <w:p w14:paraId="78EA8E22" w14:textId="2D8F0BF9" w:rsidR="008D3687" w:rsidRDefault="008D3687">
        <w:pPr>
          <w:pStyle w:val="Footer"/>
          <w:jc w:val="right"/>
        </w:pPr>
        <w:r>
          <w:fldChar w:fldCharType="begin"/>
        </w:r>
        <w:r>
          <w:instrText xml:space="preserve"> PAGE   \* MERGEFORMAT </w:instrText>
        </w:r>
        <w:r>
          <w:fldChar w:fldCharType="separate"/>
        </w:r>
        <w:r w:rsidR="000835CE">
          <w:rPr>
            <w:noProof/>
          </w:rPr>
          <w:t>1</w:t>
        </w:r>
        <w:r>
          <w:rPr>
            <w:noProof/>
          </w:rPr>
          <w:fldChar w:fldCharType="end"/>
        </w:r>
      </w:p>
    </w:sdtContent>
  </w:sdt>
  <w:p w14:paraId="71A68429" w14:textId="77777777" w:rsidR="008D3687" w:rsidRDefault="008D3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1983D" w14:textId="77777777" w:rsidR="00717527" w:rsidRDefault="00717527" w:rsidP="005D3BA5">
      <w:pPr>
        <w:spacing w:after="0" w:line="240" w:lineRule="auto"/>
      </w:pPr>
      <w:r>
        <w:separator/>
      </w:r>
    </w:p>
  </w:footnote>
  <w:footnote w:type="continuationSeparator" w:id="0">
    <w:p w14:paraId="2D1B6C92" w14:textId="77777777" w:rsidR="00717527" w:rsidRDefault="00717527" w:rsidP="005D3BA5">
      <w:pPr>
        <w:spacing w:after="0" w:line="240" w:lineRule="auto"/>
      </w:pPr>
      <w:r>
        <w:continuationSeparator/>
      </w:r>
    </w:p>
  </w:footnote>
  <w:footnote w:type="continuationNotice" w:id="1">
    <w:p w14:paraId="584D8E35" w14:textId="77777777" w:rsidR="00717527" w:rsidRDefault="00717527">
      <w:pPr>
        <w:spacing w:after="0" w:line="240" w:lineRule="auto"/>
      </w:pPr>
    </w:p>
  </w:footnote>
  <w:footnote w:id="2">
    <w:p w14:paraId="5B92F8D4" w14:textId="74827840" w:rsidR="008D3687" w:rsidRDefault="008D3687" w:rsidP="001A1CCB">
      <w:pPr>
        <w:pStyle w:val="FootnoteText"/>
      </w:pPr>
      <w:r>
        <w:rPr>
          <w:rStyle w:val="FootnoteReference"/>
        </w:rPr>
        <w:footnoteRef/>
      </w:r>
      <w:r>
        <w:t xml:space="preserve"> All disbursement dates are recorded here: </w:t>
      </w:r>
      <w:hyperlink r:id="rId1" w:history="1">
        <w:r w:rsidRPr="0002362C">
          <w:rPr>
            <w:rStyle w:val="Hyperlink"/>
          </w:rPr>
          <w:t>http://www.unocha.org/cerf/cerf-worldwide/allocations-agency</w:t>
        </w:r>
      </w:hyperlink>
      <w:r>
        <w:t xml:space="preserve"> (click UNICEF)</w:t>
      </w:r>
    </w:p>
    <w:p w14:paraId="3060C28B" w14:textId="77777777" w:rsidR="008D3687" w:rsidRDefault="008D36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790CA" w14:textId="77777777" w:rsidR="008D3687" w:rsidRDefault="008D3687">
    <w:pPr>
      <w:pStyle w:val="Header"/>
    </w:pPr>
    <w:r>
      <w:t>Jan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D85"/>
    <w:multiLevelType w:val="hybridMultilevel"/>
    <w:tmpl w:val="FB8855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562DE"/>
    <w:multiLevelType w:val="hybridMultilevel"/>
    <w:tmpl w:val="6826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3"/>
    <w:multiLevelType w:val="hybridMultilevel"/>
    <w:tmpl w:val="4F6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0F2A"/>
    <w:multiLevelType w:val="hybridMultilevel"/>
    <w:tmpl w:val="D28E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91C1A"/>
    <w:multiLevelType w:val="hybridMultilevel"/>
    <w:tmpl w:val="99A0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B08A0"/>
    <w:multiLevelType w:val="hybridMultilevel"/>
    <w:tmpl w:val="A8728846"/>
    <w:lvl w:ilvl="0" w:tplc="0809000F">
      <w:start w:val="1"/>
      <w:numFmt w:val="decimal"/>
      <w:lvlText w:val="%1."/>
      <w:lvlJc w:val="left"/>
      <w:pPr>
        <w:ind w:left="39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6299"/>
    <w:multiLevelType w:val="hybridMultilevel"/>
    <w:tmpl w:val="B3DE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C0C43"/>
    <w:multiLevelType w:val="hybridMultilevel"/>
    <w:tmpl w:val="4F30368C"/>
    <w:lvl w:ilvl="0" w:tplc="545A7E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70881"/>
    <w:multiLevelType w:val="hybridMultilevel"/>
    <w:tmpl w:val="80746850"/>
    <w:lvl w:ilvl="0" w:tplc="8A22C3C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4"/>
  </w:num>
  <w:num w:numId="5">
    <w:abstractNumId w:val="1"/>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64"/>
    <w:rsid w:val="00017A20"/>
    <w:rsid w:val="0002762D"/>
    <w:rsid w:val="00067CB1"/>
    <w:rsid w:val="00082E12"/>
    <w:rsid w:val="000835CE"/>
    <w:rsid w:val="000D198D"/>
    <w:rsid w:val="0012794A"/>
    <w:rsid w:val="001359D9"/>
    <w:rsid w:val="001371B7"/>
    <w:rsid w:val="00182FE6"/>
    <w:rsid w:val="001929C7"/>
    <w:rsid w:val="001A1CCB"/>
    <w:rsid w:val="001C426F"/>
    <w:rsid w:val="002004B4"/>
    <w:rsid w:val="00212510"/>
    <w:rsid w:val="002213B0"/>
    <w:rsid w:val="00244D41"/>
    <w:rsid w:val="00247512"/>
    <w:rsid w:val="00247802"/>
    <w:rsid w:val="00261F65"/>
    <w:rsid w:val="00286721"/>
    <w:rsid w:val="00300464"/>
    <w:rsid w:val="00302C84"/>
    <w:rsid w:val="00366C5F"/>
    <w:rsid w:val="003B0F71"/>
    <w:rsid w:val="003B7D61"/>
    <w:rsid w:val="003C1B82"/>
    <w:rsid w:val="003D1204"/>
    <w:rsid w:val="00403A70"/>
    <w:rsid w:val="00404E2F"/>
    <w:rsid w:val="00411C21"/>
    <w:rsid w:val="00434B97"/>
    <w:rsid w:val="0043638A"/>
    <w:rsid w:val="00453E6F"/>
    <w:rsid w:val="00454F39"/>
    <w:rsid w:val="00457E4B"/>
    <w:rsid w:val="0046731C"/>
    <w:rsid w:val="00476490"/>
    <w:rsid w:val="004828D8"/>
    <w:rsid w:val="004860EE"/>
    <w:rsid w:val="0048762F"/>
    <w:rsid w:val="004961F8"/>
    <w:rsid w:val="00496899"/>
    <w:rsid w:val="004A3605"/>
    <w:rsid w:val="004B3815"/>
    <w:rsid w:val="004C7C0A"/>
    <w:rsid w:val="004E3F51"/>
    <w:rsid w:val="004F3B43"/>
    <w:rsid w:val="00551EC4"/>
    <w:rsid w:val="005534D0"/>
    <w:rsid w:val="00556FE8"/>
    <w:rsid w:val="00562713"/>
    <w:rsid w:val="0057727D"/>
    <w:rsid w:val="005A38A1"/>
    <w:rsid w:val="005A5DE2"/>
    <w:rsid w:val="005A7E4F"/>
    <w:rsid w:val="005B3EAA"/>
    <w:rsid w:val="005C5E66"/>
    <w:rsid w:val="005D3BA5"/>
    <w:rsid w:val="005F11CB"/>
    <w:rsid w:val="005F3995"/>
    <w:rsid w:val="00613FEF"/>
    <w:rsid w:val="00664339"/>
    <w:rsid w:val="00674B0C"/>
    <w:rsid w:val="00675387"/>
    <w:rsid w:val="00675BEF"/>
    <w:rsid w:val="00682012"/>
    <w:rsid w:val="0069350B"/>
    <w:rsid w:val="006943AB"/>
    <w:rsid w:val="006E4313"/>
    <w:rsid w:val="006F1645"/>
    <w:rsid w:val="0070448D"/>
    <w:rsid w:val="00717527"/>
    <w:rsid w:val="007445EA"/>
    <w:rsid w:val="00750419"/>
    <w:rsid w:val="0075724C"/>
    <w:rsid w:val="007C0DB7"/>
    <w:rsid w:val="007D7B63"/>
    <w:rsid w:val="00812117"/>
    <w:rsid w:val="00816E64"/>
    <w:rsid w:val="00817762"/>
    <w:rsid w:val="0082019F"/>
    <w:rsid w:val="008242CE"/>
    <w:rsid w:val="0084402F"/>
    <w:rsid w:val="00857919"/>
    <w:rsid w:val="00867063"/>
    <w:rsid w:val="008722B9"/>
    <w:rsid w:val="0087563B"/>
    <w:rsid w:val="00880B2E"/>
    <w:rsid w:val="00881069"/>
    <w:rsid w:val="00886BA0"/>
    <w:rsid w:val="0089066A"/>
    <w:rsid w:val="00895067"/>
    <w:rsid w:val="0089555B"/>
    <w:rsid w:val="008A2D45"/>
    <w:rsid w:val="008A3017"/>
    <w:rsid w:val="008C6F0F"/>
    <w:rsid w:val="008D3687"/>
    <w:rsid w:val="008D4AB5"/>
    <w:rsid w:val="008F62E7"/>
    <w:rsid w:val="00901744"/>
    <w:rsid w:val="0094479D"/>
    <w:rsid w:val="00992C0F"/>
    <w:rsid w:val="00996FFB"/>
    <w:rsid w:val="009A5188"/>
    <w:rsid w:val="009A5C46"/>
    <w:rsid w:val="009E7F14"/>
    <w:rsid w:val="009F3C86"/>
    <w:rsid w:val="009F4503"/>
    <w:rsid w:val="00A42B35"/>
    <w:rsid w:val="00A449B2"/>
    <w:rsid w:val="00A53043"/>
    <w:rsid w:val="00A6033D"/>
    <w:rsid w:val="00A9754B"/>
    <w:rsid w:val="00AA5CAF"/>
    <w:rsid w:val="00AB0497"/>
    <w:rsid w:val="00AB05DF"/>
    <w:rsid w:val="00AB5803"/>
    <w:rsid w:val="00AC4AE0"/>
    <w:rsid w:val="00AD4E15"/>
    <w:rsid w:val="00AE549E"/>
    <w:rsid w:val="00B06921"/>
    <w:rsid w:val="00B44A26"/>
    <w:rsid w:val="00BC56D3"/>
    <w:rsid w:val="00BE708B"/>
    <w:rsid w:val="00C06560"/>
    <w:rsid w:val="00C10BC2"/>
    <w:rsid w:val="00C14490"/>
    <w:rsid w:val="00C27252"/>
    <w:rsid w:val="00C50229"/>
    <w:rsid w:val="00C82D3C"/>
    <w:rsid w:val="00C847BD"/>
    <w:rsid w:val="00CA2256"/>
    <w:rsid w:val="00CA446D"/>
    <w:rsid w:val="00CB4288"/>
    <w:rsid w:val="00CC6D4A"/>
    <w:rsid w:val="00CC7B45"/>
    <w:rsid w:val="00CE795C"/>
    <w:rsid w:val="00CF15F1"/>
    <w:rsid w:val="00D10398"/>
    <w:rsid w:val="00D745F1"/>
    <w:rsid w:val="00D8306E"/>
    <w:rsid w:val="00DB04CE"/>
    <w:rsid w:val="00DD2293"/>
    <w:rsid w:val="00DD475C"/>
    <w:rsid w:val="00DF4BBD"/>
    <w:rsid w:val="00E0407C"/>
    <w:rsid w:val="00E20806"/>
    <w:rsid w:val="00E5159F"/>
    <w:rsid w:val="00E64660"/>
    <w:rsid w:val="00E64829"/>
    <w:rsid w:val="00E676B6"/>
    <w:rsid w:val="00E858AB"/>
    <w:rsid w:val="00E95CEE"/>
    <w:rsid w:val="00ED1653"/>
    <w:rsid w:val="00ED439F"/>
    <w:rsid w:val="00F031E4"/>
    <w:rsid w:val="00F27B14"/>
    <w:rsid w:val="00F606E2"/>
    <w:rsid w:val="00F63EF7"/>
    <w:rsid w:val="00F64B77"/>
    <w:rsid w:val="00F65758"/>
    <w:rsid w:val="00F740DA"/>
    <w:rsid w:val="00FA0312"/>
    <w:rsid w:val="00FC0F70"/>
    <w:rsid w:val="00FD1846"/>
    <w:rsid w:val="00FE0203"/>
    <w:rsid w:val="00FE4D16"/>
    <w:rsid w:val="00FF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19D7"/>
  <w15:docId w15:val="{E400EC8D-D154-4378-B991-49E59965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E64"/>
    <w:pPr>
      <w:ind w:left="720"/>
      <w:contextualSpacing/>
    </w:pPr>
  </w:style>
  <w:style w:type="character" w:customStyle="1" w:styleId="A10">
    <w:name w:val="A10"/>
    <w:uiPriority w:val="99"/>
    <w:rsid w:val="00C06560"/>
    <w:rPr>
      <w:rFonts w:cs="Avenir LT Std 45 Book"/>
      <w:color w:val="000000"/>
      <w:sz w:val="20"/>
      <w:szCs w:val="20"/>
    </w:rPr>
  </w:style>
  <w:style w:type="character" w:styleId="CommentReference">
    <w:name w:val="annotation reference"/>
    <w:basedOn w:val="DefaultParagraphFont"/>
    <w:uiPriority w:val="99"/>
    <w:semiHidden/>
    <w:unhideWhenUsed/>
    <w:rsid w:val="00562713"/>
    <w:rPr>
      <w:sz w:val="16"/>
      <w:szCs w:val="16"/>
    </w:rPr>
  </w:style>
  <w:style w:type="paragraph" w:styleId="CommentText">
    <w:name w:val="annotation text"/>
    <w:basedOn w:val="Normal"/>
    <w:link w:val="CommentTextChar"/>
    <w:uiPriority w:val="99"/>
    <w:semiHidden/>
    <w:unhideWhenUsed/>
    <w:rsid w:val="00562713"/>
    <w:pPr>
      <w:spacing w:line="240" w:lineRule="auto"/>
    </w:pPr>
    <w:rPr>
      <w:sz w:val="20"/>
      <w:szCs w:val="20"/>
    </w:rPr>
  </w:style>
  <w:style w:type="character" w:customStyle="1" w:styleId="CommentTextChar">
    <w:name w:val="Comment Text Char"/>
    <w:basedOn w:val="DefaultParagraphFont"/>
    <w:link w:val="CommentText"/>
    <w:uiPriority w:val="99"/>
    <w:semiHidden/>
    <w:rsid w:val="00562713"/>
    <w:rPr>
      <w:sz w:val="20"/>
      <w:szCs w:val="20"/>
    </w:rPr>
  </w:style>
  <w:style w:type="paragraph" w:styleId="CommentSubject">
    <w:name w:val="annotation subject"/>
    <w:basedOn w:val="CommentText"/>
    <w:next w:val="CommentText"/>
    <w:link w:val="CommentSubjectChar"/>
    <w:uiPriority w:val="99"/>
    <w:semiHidden/>
    <w:unhideWhenUsed/>
    <w:rsid w:val="00562713"/>
    <w:rPr>
      <w:b/>
      <w:bCs/>
    </w:rPr>
  </w:style>
  <w:style w:type="character" w:customStyle="1" w:styleId="CommentSubjectChar">
    <w:name w:val="Comment Subject Char"/>
    <w:basedOn w:val="CommentTextChar"/>
    <w:link w:val="CommentSubject"/>
    <w:uiPriority w:val="99"/>
    <w:semiHidden/>
    <w:rsid w:val="00562713"/>
    <w:rPr>
      <w:b/>
      <w:bCs/>
      <w:sz w:val="20"/>
      <w:szCs w:val="20"/>
    </w:rPr>
  </w:style>
  <w:style w:type="paragraph" w:styleId="BalloonText">
    <w:name w:val="Balloon Text"/>
    <w:basedOn w:val="Normal"/>
    <w:link w:val="BalloonTextChar"/>
    <w:uiPriority w:val="99"/>
    <w:semiHidden/>
    <w:unhideWhenUsed/>
    <w:rsid w:val="0056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13"/>
    <w:rPr>
      <w:rFonts w:ascii="Tahoma" w:hAnsi="Tahoma" w:cs="Tahoma"/>
      <w:sz w:val="16"/>
      <w:szCs w:val="16"/>
    </w:rPr>
  </w:style>
  <w:style w:type="character" w:styleId="HTMLCite">
    <w:name w:val="HTML Cite"/>
    <w:basedOn w:val="DefaultParagraphFont"/>
    <w:uiPriority w:val="99"/>
    <w:semiHidden/>
    <w:unhideWhenUsed/>
    <w:rsid w:val="00C14490"/>
    <w:rPr>
      <w:i w:val="0"/>
      <w:iCs w:val="0"/>
      <w:color w:val="0E774A"/>
    </w:rPr>
  </w:style>
  <w:style w:type="character" w:styleId="Hyperlink">
    <w:name w:val="Hyperlink"/>
    <w:basedOn w:val="DefaultParagraphFont"/>
    <w:uiPriority w:val="99"/>
    <w:unhideWhenUsed/>
    <w:rsid w:val="009E7F14"/>
    <w:rPr>
      <w:color w:val="0000FF" w:themeColor="hyperlink"/>
      <w:u w:val="single"/>
    </w:rPr>
  </w:style>
  <w:style w:type="paragraph" w:styleId="Header">
    <w:name w:val="header"/>
    <w:basedOn w:val="Normal"/>
    <w:link w:val="HeaderChar"/>
    <w:uiPriority w:val="99"/>
    <w:unhideWhenUsed/>
    <w:rsid w:val="005D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BA5"/>
  </w:style>
  <w:style w:type="paragraph" w:styleId="Footer">
    <w:name w:val="footer"/>
    <w:basedOn w:val="Normal"/>
    <w:link w:val="FooterChar"/>
    <w:uiPriority w:val="99"/>
    <w:unhideWhenUsed/>
    <w:rsid w:val="005D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BA5"/>
  </w:style>
  <w:style w:type="character" w:styleId="FollowedHyperlink">
    <w:name w:val="FollowedHyperlink"/>
    <w:basedOn w:val="DefaultParagraphFont"/>
    <w:uiPriority w:val="99"/>
    <w:semiHidden/>
    <w:unhideWhenUsed/>
    <w:rsid w:val="005C5E66"/>
    <w:rPr>
      <w:color w:val="800080" w:themeColor="followedHyperlink"/>
      <w:u w:val="single"/>
    </w:rPr>
  </w:style>
  <w:style w:type="paragraph" w:styleId="FootnoteText">
    <w:name w:val="footnote text"/>
    <w:basedOn w:val="Normal"/>
    <w:link w:val="FootnoteTextChar"/>
    <w:uiPriority w:val="99"/>
    <w:semiHidden/>
    <w:unhideWhenUsed/>
    <w:rsid w:val="004F3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B43"/>
    <w:rPr>
      <w:sz w:val="20"/>
      <w:szCs w:val="20"/>
    </w:rPr>
  </w:style>
  <w:style w:type="character" w:styleId="FootnoteReference">
    <w:name w:val="footnote reference"/>
    <w:basedOn w:val="DefaultParagraphFont"/>
    <w:uiPriority w:val="99"/>
    <w:semiHidden/>
    <w:unhideWhenUsed/>
    <w:rsid w:val="004F3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haonline.un.org/cerf/HowtoApply/CERFGuidance/tabid/5818/language/en-U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chaonline.un.org/cerf/HowtoApply/CERFGuidance/tabid/5818/language/en-U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chaonline.un.org/cerf/WhatistheCERF/GeneralAssemblyReportsandResolutions/tabid/3358/language/en-US/Default.aspx" TargetMode="External"/><Relationship Id="rId5" Type="http://schemas.openxmlformats.org/officeDocument/2006/relationships/numbering" Target="numbering.xml"/><Relationship Id="rId15" Type="http://schemas.openxmlformats.org/officeDocument/2006/relationships/hyperlink" Target="http://intranet.unicef.org/emops/emopssite.nsf/root/PagexxWhoCanHelpYo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chaonline.un.org/cerf/HowtoApply/CERFGuidance/tabid/5818/language/en-US/Default.aspx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cha.org/cerf/cerf-worldwide/allocations-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F35E0-370C-4FF3-B10D-B3A42804E735}">
  <ds:schemaRefs>
    <ds:schemaRef ds:uri="http://schemas.openxmlformats.org/officeDocument/2006/bibliography"/>
  </ds:schemaRefs>
</ds:datastoreItem>
</file>

<file path=customXml/itemProps2.xml><?xml version="1.0" encoding="utf-8"?>
<ds:datastoreItem xmlns:ds="http://schemas.openxmlformats.org/officeDocument/2006/customXml" ds:itemID="{66CF6359-5724-4FC7-B69C-41EB80868AFE}">
  <ds:schemaRefs>
    <ds:schemaRef ds:uri="http://schemas.openxmlformats.org/officeDocument/2006/bibliography"/>
  </ds:schemaRefs>
</ds:datastoreItem>
</file>

<file path=customXml/itemProps3.xml><?xml version="1.0" encoding="utf-8"?>
<ds:datastoreItem xmlns:ds="http://schemas.openxmlformats.org/officeDocument/2006/customXml" ds:itemID="{40FEA1D1-0E11-44B2-ADD1-04B1C74CA36A}">
  <ds:schemaRefs>
    <ds:schemaRef ds:uri="http://schemas.openxmlformats.org/officeDocument/2006/bibliography"/>
  </ds:schemaRefs>
</ds:datastoreItem>
</file>

<file path=customXml/itemProps4.xml><?xml version="1.0" encoding="utf-8"?>
<ds:datastoreItem xmlns:ds="http://schemas.openxmlformats.org/officeDocument/2006/customXml" ds:itemID="{AE2A559E-0FEC-42F4-8558-FA119A05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John Fitzgerald</cp:lastModifiedBy>
  <cp:revision>2</cp:revision>
  <cp:lastPrinted>2013-01-15T19:11:00Z</cp:lastPrinted>
  <dcterms:created xsi:type="dcterms:W3CDTF">2017-06-27T08:34:00Z</dcterms:created>
  <dcterms:modified xsi:type="dcterms:W3CDTF">2017-06-27T08:34:00Z</dcterms:modified>
</cp:coreProperties>
</file>