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FBA18B" w14:textId="1288168D" w:rsidR="00832601" w:rsidRPr="00B23DDC" w:rsidRDefault="00832601" w:rsidP="00EE128C">
      <w:pPr>
        <w:widowControl w:val="0"/>
        <w:spacing w:after="0" w:line="240" w:lineRule="auto"/>
        <w:contextualSpacing/>
        <w:jc w:val="left"/>
        <w:rPr>
          <w:rFonts w:eastAsia="Times New Roman"/>
          <w:color w:val="009999"/>
          <w:spacing w:val="-10"/>
          <w:kern w:val="28"/>
          <w:sz w:val="52"/>
          <w:szCs w:val="56"/>
        </w:rPr>
      </w:pPr>
      <w:bookmarkStart w:id="0" w:name="_GoBack"/>
      <w:bookmarkEnd w:id="0"/>
      <w:r w:rsidRPr="00B23DDC">
        <w:rPr>
          <w:rFonts w:eastAsia="Times New Roman"/>
          <w:color w:val="009999"/>
          <w:spacing w:val="-10"/>
          <w:kern w:val="28"/>
          <w:sz w:val="52"/>
          <w:szCs w:val="56"/>
        </w:rPr>
        <w:t>Global WASH Cluster</w:t>
      </w:r>
    </w:p>
    <w:p w14:paraId="647111A2" w14:textId="107C123B" w:rsidR="00B23DDC" w:rsidRPr="00B23DDC" w:rsidRDefault="006A3ED6" w:rsidP="00EE128C">
      <w:pPr>
        <w:pStyle w:val="Heading1"/>
        <w:widowControl w:val="0"/>
      </w:pPr>
      <w:r>
        <w:pict w14:anchorId="21ED3DD4">
          <v:rect id="_x0000_i1025" style="width:487.3pt;height:1pt" o:hralign="center" o:hrstd="t" o:hrnoshade="t" o:hr="t" fillcolor="#002060" stroked="f"/>
        </w:pict>
      </w:r>
      <w:r w:rsidR="00964DCD" w:rsidRPr="005D337A">
        <w:rPr>
          <w:sz w:val="36"/>
        </w:rPr>
        <w:t xml:space="preserve">Technical Working Group on WASH </w:t>
      </w:r>
      <w:r w:rsidR="00FB5E5A" w:rsidRPr="005D337A">
        <w:rPr>
          <w:sz w:val="36"/>
        </w:rPr>
        <w:t>Quality Assurance</w:t>
      </w:r>
      <w:r w:rsidR="005D337A" w:rsidRPr="005D337A">
        <w:rPr>
          <w:sz w:val="36"/>
        </w:rPr>
        <w:t xml:space="preserve"> System</w:t>
      </w:r>
    </w:p>
    <w:p w14:paraId="60BE6045" w14:textId="77777777" w:rsidR="00D536FC" w:rsidRDefault="00B23DDC" w:rsidP="00EE128C">
      <w:pPr>
        <w:pStyle w:val="Heading2"/>
        <w:widowControl w:val="0"/>
      </w:pPr>
      <w:r w:rsidRPr="00B23DDC">
        <w:t>Terms of Reference</w:t>
      </w:r>
    </w:p>
    <w:p w14:paraId="028030E7" w14:textId="77777777" w:rsidR="00B23DDC" w:rsidRDefault="00B23DDC" w:rsidP="00EE128C">
      <w:pPr>
        <w:pStyle w:val="Heading3"/>
      </w:pPr>
      <w:r w:rsidRPr="00B23DDC">
        <w:t>Background</w:t>
      </w:r>
    </w:p>
    <w:p w14:paraId="0AE0CEBC" w14:textId="562AEC20" w:rsidR="008E2E22" w:rsidRDefault="0004139B" w:rsidP="00EE128C">
      <w:pPr>
        <w:widowControl w:val="0"/>
      </w:pPr>
      <w:r>
        <w:t xml:space="preserve">Two pillars are essential for the </w:t>
      </w:r>
      <w:r w:rsidR="008E2E22">
        <w:t xml:space="preserve">execution of </w:t>
      </w:r>
      <w:r w:rsidR="000D2687" w:rsidRPr="000D2687">
        <w:t xml:space="preserve">principled, accountable and high-quality humanitarian </w:t>
      </w:r>
      <w:r w:rsidR="000D2687">
        <w:t>WASH response</w:t>
      </w:r>
      <w:r w:rsidR="00060F8B">
        <w:t>:</w:t>
      </w:r>
    </w:p>
    <w:p w14:paraId="6D67BA58" w14:textId="1970FFD5" w:rsidR="0099691B" w:rsidRPr="003954BE" w:rsidRDefault="008E2E22" w:rsidP="00EE128C">
      <w:pPr>
        <w:pStyle w:val="ListParagraph"/>
        <w:widowControl w:val="0"/>
        <w:numPr>
          <w:ilvl w:val="0"/>
          <w:numId w:val="40"/>
        </w:numPr>
      </w:pPr>
      <w:r w:rsidRPr="003954BE">
        <w:t xml:space="preserve">The </w:t>
      </w:r>
      <w:r w:rsidRPr="00060F8B">
        <w:rPr>
          <w:b/>
        </w:rPr>
        <w:t>coordination</w:t>
      </w:r>
      <w:r w:rsidRPr="003954BE">
        <w:t xml:space="preserve"> within the WASH cluster</w:t>
      </w:r>
      <w:r w:rsidRPr="003954BE">
        <w:rPr>
          <w:rStyle w:val="FootnoteReference"/>
        </w:rPr>
        <w:footnoteReference w:id="1"/>
      </w:r>
      <w:r w:rsidRPr="003954BE">
        <w:t xml:space="preserve"> and with other clusters must provide the enabling environment allowing that </w:t>
      </w:r>
      <w:r w:rsidR="0099691B" w:rsidRPr="003954BE">
        <w:t>the</w:t>
      </w:r>
      <w:r w:rsidRPr="003954BE">
        <w:t xml:space="preserve"> projects </w:t>
      </w:r>
      <w:r w:rsidR="0099691B" w:rsidRPr="003954BE">
        <w:t xml:space="preserve">of the WASH partners </w:t>
      </w:r>
      <w:r w:rsidRPr="003954BE">
        <w:t xml:space="preserve">are </w:t>
      </w:r>
      <w:r w:rsidR="0099691B" w:rsidRPr="003954BE">
        <w:t xml:space="preserve">strategically </w:t>
      </w:r>
      <w:r w:rsidRPr="003954BE">
        <w:t xml:space="preserve">implemented avoiding gaps and duplications, </w:t>
      </w:r>
      <w:r w:rsidR="0099691B" w:rsidRPr="003954BE">
        <w:t xml:space="preserve">and </w:t>
      </w:r>
      <w:r w:rsidRPr="003954BE">
        <w:t>follow</w:t>
      </w:r>
      <w:r w:rsidR="0099691B" w:rsidRPr="003954BE">
        <w:t>ing</w:t>
      </w:r>
      <w:r w:rsidRPr="003954BE">
        <w:t xml:space="preserve"> agreed </w:t>
      </w:r>
      <w:r w:rsidR="00060F8B">
        <w:t>standards and modalities</w:t>
      </w:r>
      <w:r w:rsidR="009F7DCC">
        <w:rPr>
          <w:rStyle w:val="FootnoteReference"/>
        </w:rPr>
        <w:footnoteReference w:id="2"/>
      </w:r>
      <w:r w:rsidR="00060F8B">
        <w:t>. U</w:t>
      </w:r>
      <w:r w:rsidR="00060F8B" w:rsidRPr="003954BE">
        <w:t xml:space="preserve">sually </w:t>
      </w:r>
      <w:r w:rsidR="00060F8B">
        <w:t xml:space="preserve">the agreed standards and implementation modalities are </w:t>
      </w:r>
      <w:r w:rsidR="00060F8B" w:rsidRPr="003954BE">
        <w:t xml:space="preserve">summarized in </w:t>
      </w:r>
      <w:r w:rsidR="00060F8B">
        <w:t>the</w:t>
      </w:r>
      <w:r w:rsidR="00060F8B" w:rsidRPr="003954BE">
        <w:t xml:space="preserve"> Strategic Operational Framework (SOF)</w:t>
      </w:r>
      <w:r w:rsidR="00060F8B">
        <w:t>, a</w:t>
      </w:r>
      <w:r w:rsidR="00060F8B" w:rsidRPr="003954BE">
        <w:t xml:space="preserve"> document that </w:t>
      </w:r>
      <w:r w:rsidR="00060F8B">
        <w:t>is agreed among the WASH partners involved in the response. The SOF completes the Humanitarian Response Plan;</w:t>
      </w:r>
    </w:p>
    <w:p w14:paraId="3F64ADB5" w14:textId="77777777" w:rsidR="0099691B" w:rsidRPr="003954BE" w:rsidRDefault="0099691B" w:rsidP="00EE128C">
      <w:pPr>
        <w:pStyle w:val="ListParagraph"/>
        <w:widowControl w:val="0"/>
      </w:pPr>
    </w:p>
    <w:p w14:paraId="1468CB1A" w14:textId="28220B5D" w:rsidR="008E2E22" w:rsidRPr="003954BE" w:rsidRDefault="0099691B" w:rsidP="00060F8B">
      <w:pPr>
        <w:pStyle w:val="ListParagraph"/>
        <w:widowControl w:val="0"/>
        <w:numPr>
          <w:ilvl w:val="0"/>
          <w:numId w:val="40"/>
        </w:numPr>
      </w:pPr>
      <w:r w:rsidRPr="003954BE">
        <w:t xml:space="preserve">The </w:t>
      </w:r>
      <w:r w:rsidRPr="00060F8B">
        <w:rPr>
          <w:b/>
        </w:rPr>
        <w:t xml:space="preserve">implementation of the projects </w:t>
      </w:r>
      <w:r w:rsidR="00060F8B">
        <w:rPr>
          <w:b/>
        </w:rPr>
        <w:t>executed by</w:t>
      </w:r>
      <w:r w:rsidRPr="00060F8B">
        <w:rPr>
          <w:b/>
        </w:rPr>
        <w:t xml:space="preserve"> </w:t>
      </w:r>
      <w:r w:rsidR="00060F8B" w:rsidRPr="00060F8B">
        <w:rPr>
          <w:b/>
        </w:rPr>
        <w:t xml:space="preserve">the WASH </w:t>
      </w:r>
      <w:r w:rsidRPr="00060F8B">
        <w:rPr>
          <w:b/>
        </w:rPr>
        <w:t>partners</w:t>
      </w:r>
      <w:r w:rsidRPr="003954BE">
        <w:t xml:space="preserve"> must respect the</w:t>
      </w:r>
      <w:r w:rsidR="0004139B" w:rsidRPr="003954BE">
        <w:t>se</w:t>
      </w:r>
      <w:r w:rsidRPr="003954BE">
        <w:t xml:space="preserve"> agreed standards and modalities</w:t>
      </w:r>
      <w:r w:rsidR="00060F8B">
        <w:t>.</w:t>
      </w:r>
    </w:p>
    <w:p w14:paraId="13446FD4" w14:textId="3C3E2B2F" w:rsidR="00162AA8" w:rsidRDefault="00162AA8" w:rsidP="00EE128C">
      <w:pPr>
        <w:widowControl w:val="0"/>
      </w:pPr>
      <w:r>
        <w:t xml:space="preserve">Thus, the National Humanitarian WASH Coordination Platform and </w:t>
      </w:r>
      <w:r w:rsidR="009A5A28">
        <w:t xml:space="preserve">the </w:t>
      </w:r>
      <w:r>
        <w:t xml:space="preserve">partners are mutually accountable </w:t>
      </w:r>
      <w:r w:rsidRPr="00532628">
        <w:t xml:space="preserve">to ensure that the </w:t>
      </w:r>
      <w:r>
        <w:t xml:space="preserve">WASH </w:t>
      </w:r>
      <w:r w:rsidRPr="00532628">
        <w:t>response is</w:t>
      </w:r>
      <w:r w:rsidR="009A5A28">
        <w:t xml:space="preserve"> 1) relevant, 2) effectively</w:t>
      </w:r>
      <w:r w:rsidRPr="00532628">
        <w:t xml:space="preserve"> and timely </w:t>
      </w:r>
      <w:r w:rsidR="009A5A28" w:rsidRPr="00532628">
        <w:t xml:space="preserve">implemented </w:t>
      </w:r>
      <w:r w:rsidRPr="00532628">
        <w:t>in close collaboration with n</w:t>
      </w:r>
      <w:r>
        <w:t xml:space="preserve">ational and local </w:t>
      </w:r>
      <w:r w:rsidR="00343283">
        <w:t>governments</w:t>
      </w:r>
      <w:r w:rsidR="009A5A28">
        <w:t>, and 3) responds to</w:t>
      </w:r>
      <w:r w:rsidRPr="00532628">
        <w:t xml:space="preserve"> the </w:t>
      </w:r>
      <w:r w:rsidR="009A5A28">
        <w:t>needs</w:t>
      </w:r>
      <w:r w:rsidR="00FB3243">
        <w:t xml:space="preserve"> </w:t>
      </w:r>
      <w:r>
        <w:t>of the affected populations.</w:t>
      </w:r>
    </w:p>
    <w:p w14:paraId="1B782956" w14:textId="115B2CDC" w:rsidR="00AF24FF" w:rsidRDefault="00DC4ACE" w:rsidP="00EE128C">
      <w:pPr>
        <w:widowControl w:val="0"/>
      </w:pPr>
      <w:r>
        <w:t>T</w:t>
      </w:r>
      <w:r w:rsidR="00AF24FF" w:rsidRPr="00C94747">
        <w:rPr>
          <w:lang w:val="en-IE"/>
        </w:rPr>
        <w:t xml:space="preserve">he Global WASH Cluster Strategic Plan for 2016-2020 </w:t>
      </w:r>
      <w:r w:rsidR="00AF24FF">
        <w:rPr>
          <w:lang w:val="en-IE"/>
        </w:rPr>
        <w:t xml:space="preserve">outlines the provision of support to NHWCPs and </w:t>
      </w:r>
      <w:r w:rsidR="00AF24FF" w:rsidRPr="00C94747">
        <w:rPr>
          <w:lang w:val="en-IE"/>
        </w:rPr>
        <w:t xml:space="preserve">partners to </w:t>
      </w:r>
      <w:r w:rsidR="00AF24FF">
        <w:rPr>
          <w:lang w:val="en-IE"/>
        </w:rPr>
        <w:t>deliver</w:t>
      </w:r>
      <w:r w:rsidR="00AF24FF" w:rsidRPr="00C94747">
        <w:rPr>
          <w:lang w:val="en-IE"/>
        </w:rPr>
        <w:t xml:space="preserve"> quality WASH services to the affected population</w:t>
      </w:r>
      <w:r w:rsidR="00AF24FF">
        <w:rPr>
          <w:lang w:val="en-IE"/>
        </w:rPr>
        <w:t>s</w:t>
      </w:r>
      <w:r w:rsidR="00AF24FF" w:rsidRPr="00C94747">
        <w:rPr>
          <w:lang w:val="en-IE"/>
        </w:rPr>
        <w:t xml:space="preserve">, </w:t>
      </w:r>
      <w:r w:rsidR="00AF24FF">
        <w:rPr>
          <w:lang w:val="en-IE"/>
        </w:rPr>
        <w:t xml:space="preserve">starting with countries facing </w:t>
      </w:r>
      <w:r w:rsidR="00AF24FF" w:rsidRPr="00C94747">
        <w:rPr>
          <w:lang w:val="en-IE"/>
        </w:rPr>
        <w:t>L3 emergencies.</w:t>
      </w:r>
    </w:p>
    <w:p w14:paraId="0A38C44C" w14:textId="59A7F53E" w:rsidR="00307713" w:rsidRDefault="00162AA8" w:rsidP="00EE128C">
      <w:pPr>
        <w:widowControl w:val="0"/>
      </w:pPr>
      <w:r>
        <w:t>Findings of humanitarian action reviews carried out by UNICEF and the Cluster Adv</w:t>
      </w:r>
      <w:r w:rsidR="00D05C0A">
        <w:t>ocacy</w:t>
      </w:r>
      <w:r>
        <w:t xml:space="preserve"> </w:t>
      </w:r>
      <w:r>
        <w:lastRenderedPageBreak/>
        <w:t xml:space="preserve">Support Team (CAST) in several countries show that </w:t>
      </w:r>
      <w:r w:rsidR="00050309">
        <w:t xml:space="preserve">too often </w:t>
      </w:r>
      <w:r w:rsidR="003954BE">
        <w:t>WASH partners fail to</w:t>
      </w:r>
      <w:r w:rsidR="00050309" w:rsidRPr="003954BE">
        <w:t xml:space="preserve"> meet the minimum humanitarian or technical standard</w:t>
      </w:r>
      <w:r w:rsidR="000A4143" w:rsidRPr="003954BE">
        <w:t>s</w:t>
      </w:r>
      <w:r w:rsidR="00050309">
        <w:t xml:space="preserve"> </w:t>
      </w:r>
      <w:r w:rsidR="00FB3243">
        <w:t xml:space="preserve">and thus </w:t>
      </w:r>
      <w:r w:rsidR="00050309">
        <w:t>undermin</w:t>
      </w:r>
      <w:r w:rsidR="00FB3243">
        <w:t>es</w:t>
      </w:r>
      <w:r w:rsidR="00050309">
        <w:t xml:space="preserve"> the overall quality of the WASH services that are delivered to the affected populations. </w:t>
      </w:r>
      <w:r w:rsidR="001A74CC">
        <w:t xml:space="preserve">In most cases, </w:t>
      </w:r>
      <w:r w:rsidR="00050309">
        <w:t xml:space="preserve">WASH partners in countries have no </w:t>
      </w:r>
      <w:r w:rsidR="00307713">
        <w:t xml:space="preserve">agreed </w:t>
      </w:r>
      <w:r w:rsidR="00FB16B3">
        <w:t xml:space="preserve">joint </w:t>
      </w:r>
      <w:r w:rsidR="00050309">
        <w:t>quality assurance systems they could us</w:t>
      </w:r>
      <w:r w:rsidR="000A4143">
        <w:t>e</w:t>
      </w:r>
      <w:r w:rsidR="00050309">
        <w:t xml:space="preserve"> to monitor WASH response</w:t>
      </w:r>
      <w:r w:rsidR="00FB3243">
        <w:t xml:space="preserve"> quality</w:t>
      </w:r>
      <w:r w:rsidR="00307713">
        <w:t>, reinforce their capacity where it is needed</w:t>
      </w:r>
      <w:r w:rsidR="00050309">
        <w:t xml:space="preserve"> and take corrective measures</w:t>
      </w:r>
      <w:r w:rsidR="00307713">
        <w:t>.</w:t>
      </w:r>
    </w:p>
    <w:p w14:paraId="306C6915" w14:textId="77777777" w:rsidR="00307713" w:rsidRDefault="00307713" w:rsidP="00EE128C">
      <w:pPr>
        <w:pStyle w:val="Heading3"/>
      </w:pPr>
      <w:r>
        <w:t>Key considerations</w:t>
      </w:r>
    </w:p>
    <w:p w14:paraId="4A0809A5" w14:textId="3B51323A" w:rsidR="00D91FD5" w:rsidRDefault="00307713" w:rsidP="00EE128C">
      <w:pPr>
        <w:widowControl w:val="0"/>
      </w:pPr>
      <w:r>
        <w:t xml:space="preserve">In 2017, the GWC Strategy Advisory Group endorsed </w:t>
      </w:r>
      <w:r w:rsidR="00C04D44">
        <w:t xml:space="preserve">the </w:t>
      </w:r>
      <w:r w:rsidR="00C04D44" w:rsidRPr="003954BE">
        <w:t xml:space="preserve">Humanitarian WASH </w:t>
      </w:r>
      <w:r w:rsidRPr="003954BE">
        <w:t>Accountability Framework</w:t>
      </w:r>
      <w:r>
        <w:t xml:space="preserve"> that details the </w:t>
      </w:r>
      <w:r w:rsidR="00325A08">
        <w:t xml:space="preserve">priority </w:t>
      </w:r>
      <w:r>
        <w:t xml:space="preserve">areas NHWCPs and partners in countries should pay attention to. </w:t>
      </w:r>
      <w:r w:rsidR="009A5A28">
        <w:t>This</w:t>
      </w:r>
      <w:r>
        <w:t xml:space="preserve"> framework</w:t>
      </w:r>
      <w:r w:rsidR="009A5A28">
        <w:t xml:space="preserve"> should be updated and</w:t>
      </w:r>
      <w:r>
        <w:t xml:space="preserve"> </w:t>
      </w:r>
      <w:r w:rsidR="009A5A28">
        <w:t xml:space="preserve">provide the baseline for the </w:t>
      </w:r>
      <w:r>
        <w:t xml:space="preserve">GWC </w:t>
      </w:r>
      <w:r w:rsidR="009A5A28">
        <w:t>to</w:t>
      </w:r>
      <w:r>
        <w:t xml:space="preserve"> develop guidance </w:t>
      </w:r>
      <w:r w:rsidR="009A5A28">
        <w:t xml:space="preserve">in order </w:t>
      </w:r>
      <w:r>
        <w:t xml:space="preserve">to support countries addressing the quality of </w:t>
      </w:r>
      <w:r w:rsidR="004A246E">
        <w:t xml:space="preserve">response in humanitarian </w:t>
      </w:r>
      <w:r>
        <w:t>WASH programm</w:t>
      </w:r>
      <w:r w:rsidR="004A246E">
        <w:t>es.</w:t>
      </w:r>
    </w:p>
    <w:p w14:paraId="3166CF91" w14:textId="10CF51C0" w:rsidR="00307713" w:rsidRDefault="00307713" w:rsidP="00EE128C">
      <w:pPr>
        <w:widowControl w:val="0"/>
      </w:pPr>
      <w:r>
        <w:t xml:space="preserve">Quality assurance systems </w:t>
      </w:r>
      <w:r w:rsidR="00C04D44">
        <w:t xml:space="preserve">should </w:t>
      </w:r>
      <w:r w:rsidR="000A4143">
        <w:t>consider</w:t>
      </w:r>
      <w:r w:rsidR="004A246E">
        <w:t xml:space="preserve">, </w:t>
      </w:r>
      <w:r w:rsidR="009A5A28">
        <w:t>as a priority</w:t>
      </w:r>
      <w:r w:rsidR="00C04D44">
        <w:t>:</w:t>
      </w:r>
    </w:p>
    <w:p w14:paraId="5035B23C" w14:textId="77777777" w:rsidR="002852B6" w:rsidRDefault="00C04D44" w:rsidP="00EE128C">
      <w:pPr>
        <w:pStyle w:val="ListParagraph"/>
        <w:widowControl w:val="0"/>
        <w:numPr>
          <w:ilvl w:val="0"/>
          <w:numId w:val="41"/>
        </w:numPr>
      </w:pPr>
      <w:r>
        <w:t xml:space="preserve">The </w:t>
      </w:r>
      <w:r w:rsidR="00246438" w:rsidRPr="003954BE">
        <w:t xml:space="preserve">strategic, </w:t>
      </w:r>
      <w:r w:rsidRPr="003954BE">
        <w:t>programmatic and technical areas</w:t>
      </w:r>
      <w:r>
        <w:t xml:space="preserve"> that are essential to meet the requirements of the Human</w:t>
      </w:r>
      <w:r w:rsidR="002852B6">
        <w:t>itarian</w:t>
      </w:r>
      <w:r>
        <w:t xml:space="preserve"> </w:t>
      </w:r>
      <w:r w:rsidRPr="003954BE">
        <w:t>WASH Accountability Framework</w:t>
      </w:r>
      <w:r>
        <w:rPr>
          <w:rStyle w:val="FootnoteReference"/>
        </w:rPr>
        <w:footnoteReference w:id="3"/>
      </w:r>
      <w:r w:rsidR="002852B6">
        <w:t>;</w:t>
      </w:r>
    </w:p>
    <w:p w14:paraId="3703895B" w14:textId="77777777" w:rsidR="00C04D44" w:rsidRDefault="002852B6" w:rsidP="00EE128C">
      <w:pPr>
        <w:pStyle w:val="ListParagraph"/>
        <w:widowControl w:val="0"/>
        <w:numPr>
          <w:ilvl w:val="0"/>
          <w:numId w:val="41"/>
        </w:numPr>
      </w:pPr>
      <w:r w:rsidRPr="003954BE">
        <w:t>H</w:t>
      </w:r>
      <w:r w:rsidR="00C04D44" w:rsidRPr="003954BE">
        <w:t>umanitarian and technical standards</w:t>
      </w:r>
      <w:r w:rsidRPr="003954BE">
        <w:t xml:space="preserve"> that should be met by the WASH partners during the implementation of a response</w:t>
      </w:r>
      <w:r w:rsidR="00C04D44">
        <w:t>;</w:t>
      </w:r>
    </w:p>
    <w:p w14:paraId="1DB92E92" w14:textId="074EA221" w:rsidR="002852B6" w:rsidRDefault="002852B6" w:rsidP="00EE128C">
      <w:pPr>
        <w:pStyle w:val="ListParagraph"/>
        <w:widowControl w:val="0"/>
        <w:numPr>
          <w:ilvl w:val="0"/>
          <w:numId w:val="41"/>
        </w:numPr>
      </w:pPr>
      <w:r w:rsidRPr="003954BE">
        <w:t>Targets, criteria and indicators</w:t>
      </w:r>
      <w:r>
        <w:t xml:space="preserve"> that </w:t>
      </w:r>
      <w:r w:rsidR="0067682B">
        <w:t>the Humanitarian Response Plan should pursue</w:t>
      </w:r>
      <w:r>
        <w:t xml:space="preserve"> to improve the quality of the WASH response, considering both </w:t>
      </w:r>
      <w:r w:rsidRPr="003954BE">
        <w:t>programmatic</w:t>
      </w:r>
      <w:r>
        <w:t xml:space="preserve"> and </w:t>
      </w:r>
      <w:r w:rsidRPr="003954BE">
        <w:t xml:space="preserve">technical </w:t>
      </w:r>
      <w:r>
        <w:t>aspects;</w:t>
      </w:r>
    </w:p>
    <w:p w14:paraId="643C4797" w14:textId="1C94D0BC" w:rsidR="002852B6" w:rsidRPr="00325A08" w:rsidRDefault="002852B6" w:rsidP="00A53E47">
      <w:pPr>
        <w:pStyle w:val="ListParagraph"/>
        <w:widowControl w:val="0"/>
        <w:numPr>
          <w:ilvl w:val="0"/>
          <w:numId w:val="41"/>
        </w:numPr>
      </w:pPr>
      <w:r>
        <w:t>A</w:t>
      </w:r>
      <w:r w:rsidR="00C04D44">
        <w:t>rrangements among partn</w:t>
      </w:r>
      <w:r>
        <w:t xml:space="preserve">ers to </w:t>
      </w:r>
      <w:r w:rsidRPr="003954BE">
        <w:t>monitor the quality of the response</w:t>
      </w:r>
      <w:r w:rsidRPr="002852B6">
        <w:t xml:space="preserve"> and </w:t>
      </w:r>
      <w:r>
        <w:t xml:space="preserve">decide on </w:t>
      </w:r>
      <w:r w:rsidRPr="002852B6">
        <w:t>corrective</w:t>
      </w:r>
      <w:r w:rsidR="00EE128C">
        <w:t xml:space="preserve"> actions. Among the key areas are: a) the </w:t>
      </w:r>
      <w:r w:rsidR="00EE128C" w:rsidRPr="003954BE">
        <w:t>response level</w:t>
      </w:r>
      <w:r w:rsidR="00EE128C" w:rsidRPr="00D536FC">
        <w:t xml:space="preserve"> against the </w:t>
      </w:r>
      <w:r w:rsidR="00EE128C" w:rsidRPr="003954BE">
        <w:t>response</w:t>
      </w:r>
      <w:r w:rsidR="00EE128C" w:rsidRPr="00D536FC">
        <w:t xml:space="preserve"> </w:t>
      </w:r>
      <w:r w:rsidR="00EE128C" w:rsidRPr="003954BE">
        <w:t>plan objectives</w:t>
      </w:r>
      <w:r w:rsidR="00EE128C" w:rsidRPr="00EE128C">
        <w:t xml:space="preserve"> </w:t>
      </w:r>
      <w:r w:rsidR="00EE128C" w:rsidRPr="00D536FC">
        <w:t>in all relevant WASH sub-domain areas</w:t>
      </w:r>
      <w:r w:rsidR="00EE128C">
        <w:t xml:space="preserve">, b) </w:t>
      </w:r>
      <w:r w:rsidR="00EE128C" w:rsidRPr="003954BE">
        <w:t>geographical coverage</w:t>
      </w:r>
      <w:r w:rsidR="00EE128C" w:rsidRPr="00D536FC">
        <w:t>,</w:t>
      </w:r>
      <w:r w:rsidR="00EE128C">
        <w:t xml:space="preserve"> c) the </w:t>
      </w:r>
      <w:r w:rsidR="00EE128C" w:rsidRPr="003954BE">
        <w:t>appropriateness of WASH implementation modalities</w:t>
      </w:r>
      <w:r w:rsidR="00EE128C">
        <w:t>, d)</w:t>
      </w:r>
      <w:r w:rsidR="00EE128C" w:rsidRPr="00D536FC">
        <w:t xml:space="preserve"> </w:t>
      </w:r>
      <w:r w:rsidR="00EE128C" w:rsidRPr="003954BE">
        <w:t>the relevance, the reliability, t</w:t>
      </w:r>
      <w:r w:rsidR="0067682B">
        <w:t>he safety, the quantity and the</w:t>
      </w:r>
      <w:r w:rsidR="0067682B" w:rsidRPr="003954BE">
        <w:t xml:space="preserve"> </w:t>
      </w:r>
      <w:r w:rsidR="00EE128C" w:rsidRPr="003954BE">
        <w:t>continuity of WASH services</w:t>
      </w:r>
      <w:r w:rsidR="00EE128C">
        <w:t xml:space="preserve">, e) the </w:t>
      </w:r>
      <w:r w:rsidR="00EE128C" w:rsidRPr="003954BE">
        <w:t>level of accountability of WASH partners towards the affected population</w:t>
      </w:r>
      <w:r w:rsidR="00EE128C" w:rsidRPr="00325A08">
        <w:t xml:space="preserve">; </w:t>
      </w:r>
    </w:p>
    <w:p w14:paraId="779360AA" w14:textId="22D8C3AA" w:rsidR="00C04D44" w:rsidRDefault="00246438" w:rsidP="00A53E47">
      <w:pPr>
        <w:pStyle w:val="ListParagraph"/>
        <w:widowControl w:val="0"/>
        <w:numPr>
          <w:ilvl w:val="0"/>
          <w:numId w:val="41"/>
        </w:numPr>
      </w:pPr>
      <w:r>
        <w:t>Plans to roll out the corrective actions and build c</w:t>
      </w:r>
      <w:r w:rsidR="002852B6">
        <w:t xml:space="preserve">apacity </w:t>
      </w:r>
      <w:r>
        <w:t>where necessary.</w:t>
      </w:r>
    </w:p>
    <w:p w14:paraId="70D72127" w14:textId="0B0ED224" w:rsidR="00AF24FF" w:rsidRDefault="00DC4ACE" w:rsidP="00A53E47">
      <w:pPr>
        <w:pStyle w:val="ListParagraph"/>
        <w:widowControl w:val="0"/>
        <w:numPr>
          <w:ilvl w:val="0"/>
          <w:numId w:val="41"/>
        </w:numPr>
      </w:pPr>
      <w:r>
        <w:t>Documentation of lessons learned and good practices</w:t>
      </w:r>
    </w:p>
    <w:p w14:paraId="6BF060C7" w14:textId="3AAF6EA5" w:rsidR="00D91FD5" w:rsidRDefault="00D536FC" w:rsidP="00DC4ACE">
      <w:pPr>
        <w:pStyle w:val="Heading3"/>
        <w:tabs>
          <w:tab w:val="clear" w:pos="5895"/>
          <w:tab w:val="left" w:pos="3130"/>
        </w:tabs>
        <w:rPr>
          <w:rFonts w:eastAsia="Calibri"/>
        </w:rPr>
      </w:pPr>
      <w:r w:rsidRPr="00C04D44">
        <w:rPr>
          <w:rFonts w:eastAsia="Calibri"/>
        </w:rPr>
        <w:t>Aim of the TWiG</w:t>
      </w:r>
      <w:r w:rsidR="00DC4ACE">
        <w:rPr>
          <w:rFonts w:eastAsia="Calibri"/>
        </w:rPr>
        <w:tab/>
      </w:r>
    </w:p>
    <w:p w14:paraId="7FBD986B" w14:textId="0832C364" w:rsidR="00D91FD5" w:rsidRDefault="00DC4ACE" w:rsidP="00D91FD5">
      <w:r w:rsidRPr="00D536FC">
        <w:t xml:space="preserve">Provide </w:t>
      </w:r>
      <w:r>
        <w:t xml:space="preserve">strategic </w:t>
      </w:r>
      <w:r w:rsidRPr="00D536FC">
        <w:t>guidance</w:t>
      </w:r>
      <w:r>
        <w:t xml:space="preserve"> and advocate for quality of humanitarian WASH programming</w:t>
      </w:r>
      <w:r w:rsidRPr="00D536FC">
        <w:t xml:space="preserve"> </w:t>
      </w:r>
      <w:r w:rsidR="00D91FD5">
        <w:t>in countries.</w:t>
      </w:r>
    </w:p>
    <w:p w14:paraId="278D30E4" w14:textId="77777777" w:rsidR="00D536FC" w:rsidRPr="00C04D44" w:rsidRDefault="00D536FC" w:rsidP="00EE128C">
      <w:pPr>
        <w:pStyle w:val="Heading3"/>
        <w:rPr>
          <w:rFonts w:eastAsia="Calibri"/>
        </w:rPr>
      </w:pPr>
      <w:r w:rsidRPr="00C04D44">
        <w:rPr>
          <w:rFonts w:eastAsia="Calibri"/>
        </w:rPr>
        <w:lastRenderedPageBreak/>
        <w:t>Objectives of the TWiG</w:t>
      </w:r>
    </w:p>
    <w:p w14:paraId="19CD4850" w14:textId="77777777" w:rsidR="0067682B" w:rsidRPr="0067682B" w:rsidRDefault="0067682B" w:rsidP="0067682B">
      <w:pPr>
        <w:pStyle w:val="ListParagraph"/>
        <w:numPr>
          <w:ilvl w:val="0"/>
          <w:numId w:val="44"/>
        </w:numPr>
        <w:rPr>
          <w:b/>
        </w:rPr>
      </w:pPr>
      <w:r w:rsidRPr="00D536FC">
        <w:t xml:space="preserve">Provide </w:t>
      </w:r>
      <w:r w:rsidRPr="00325A08">
        <w:t>technical advice</w:t>
      </w:r>
      <w:r w:rsidRPr="00D536FC">
        <w:t xml:space="preserve"> on the key components of the </w:t>
      </w:r>
      <w:r w:rsidRPr="003954BE">
        <w:t>quality assurance</w:t>
      </w:r>
      <w:r w:rsidRPr="00D536FC">
        <w:t xml:space="preserve"> system</w:t>
      </w:r>
      <w:r>
        <w:t>s</w:t>
      </w:r>
      <w:r w:rsidRPr="00D536FC">
        <w:t>;</w:t>
      </w:r>
    </w:p>
    <w:p w14:paraId="735BE80C" w14:textId="245C9281" w:rsidR="0067682B" w:rsidRPr="0067682B" w:rsidRDefault="00DC4ACE" w:rsidP="00DC4ACE">
      <w:pPr>
        <w:pStyle w:val="ListParagraph"/>
        <w:numPr>
          <w:ilvl w:val="0"/>
          <w:numId w:val="44"/>
        </w:numPr>
        <w:rPr>
          <w:b/>
        </w:rPr>
      </w:pPr>
      <w:r w:rsidRPr="00D536FC">
        <w:t xml:space="preserve">Provide guidance </w:t>
      </w:r>
      <w:r>
        <w:t xml:space="preserve">for the </w:t>
      </w:r>
      <w:r w:rsidR="0067682B">
        <w:t>elaboration of a “Guidance on development of WASH Cluster Quality Assurance Systems for countries”;</w:t>
      </w:r>
    </w:p>
    <w:p w14:paraId="108D2CB4" w14:textId="0FF5132F" w:rsidR="0067682B" w:rsidRPr="00D91FD5" w:rsidRDefault="0067682B" w:rsidP="00ED6F86">
      <w:pPr>
        <w:pStyle w:val="ListParagraph"/>
        <w:numPr>
          <w:ilvl w:val="0"/>
          <w:numId w:val="44"/>
        </w:numPr>
        <w:rPr>
          <w:b/>
        </w:rPr>
      </w:pPr>
      <w:r>
        <w:t xml:space="preserve">Support the </w:t>
      </w:r>
      <w:r w:rsidR="00ED6F86" w:rsidRPr="00ED6F86">
        <w:t xml:space="preserve">piloting and dissemination of </w:t>
      </w:r>
      <w:r w:rsidR="00ED6F86">
        <w:t>q</w:t>
      </w:r>
      <w:r w:rsidR="00ED6F86" w:rsidRPr="00ED6F86">
        <w:t>uality assurance system</w:t>
      </w:r>
      <w:r w:rsidR="00ED6F86">
        <w:t>s</w:t>
      </w:r>
      <w:r w:rsidR="00ED6F86" w:rsidRPr="00ED6F86">
        <w:t xml:space="preserve"> in selected countries</w:t>
      </w:r>
      <w:r w:rsidR="00ED6F86">
        <w:t>;</w:t>
      </w:r>
    </w:p>
    <w:p w14:paraId="1F516C74" w14:textId="5645C793" w:rsidR="0070161E" w:rsidRPr="00DC4ACE" w:rsidRDefault="00D536FC" w:rsidP="0070161E">
      <w:pPr>
        <w:pStyle w:val="ListParagraph"/>
        <w:numPr>
          <w:ilvl w:val="0"/>
          <w:numId w:val="44"/>
        </w:numPr>
        <w:rPr>
          <w:b/>
        </w:rPr>
      </w:pPr>
      <w:r w:rsidRPr="00D536FC">
        <w:t>Support CAST to help steering and adopti</w:t>
      </w:r>
      <w:r w:rsidR="00325A08">
        <w:t>on of</w:t>
      </w:r>
      <w:r w:rsidRPr="00D536FC">
        <w:t xml:space="preserve"> the </w:t>
      </w:r>
      <w:r w:rsidR="00ED6F86">
        <w:t>Guidance</w:t>
      </w:r>
      <w:r w:rsidR="0070161E" w:rsidRPr="00D536FC">
        <w:t xml:space="preserve"> </w:t>
      </w:r>
      <w:r w:rsidR="009F7DCC">
        <w:t>among GWC partners;</w:t>
      </w:r>
    </w:p>
    <w:p w14:paraId="36E8E09C" w14:textId="5B026048" w:rsidR="00AF6500" w:rsidRPr="0070161E" w:rsidRDefault="00AF6500" w:rsidP="0070161E">
      <w:pPr>
        <w:pStyle w:val="ListParagraph"/>
        <w:numPr>
          <w:ilvl w:val="0"/>
          <w:numId w:val="44"/>
        </w:numPr>
        <w:rPr>
          <w:b/>
        </w:rPr>
      </w:pPr>
      <w:r>
        <w:t>Undertake reviews of large scale emergency responses, providing recommendations for improvement and documenting lessons learned.</w:t>
      </w:r>
    </w:p>
    <w:p w14:paraId="11BA5EF5" w14:textId="77777777" w:rsidR="00D536FC" w:rsidRPr="00C04D44" w:rsidRDefault="00D536FC" w:rsidP="0070161E">
      <w:pPr>
        <w:pStyle w:val="Heading3"/>
        <w:rPr>
          <w:rFonts w:eastAsia="Calibri"/>
        </w:rPr>
      </w:pPr>
      <w:r w:rsidRPr="00C04D44">
        <w:rPr>
          <w:rFonts w:eastAsia="Calibri"/>
        </w:rPr>
        <w:t>Membership</w:t>
      </w:r>
    </w:p>
    <w:p w14:paraId="35D9950D" w14:textId="71577068" w:rsidR="0070161E" w:rsidRDefault="00D536FC" w:rsidP="0070161E">
      <w:r w:rsidRPr="00D536FC">
        <w:t>The TWiG should comprise individuals representing a variety of agencies and skill-sets. TWiG r</w:t>
      </w:r>
      <w:r w:rsidR="0070161E">
        <w:t>epresentatives should come from h</w:t>
      </w:r>
      <w:r w:rsidRPr="00D536FC">
        <w:t>umanitarian organisations (NGO, UN, other</w:t>
      </w:r>
      <w:r w:rsidR="0070161E">
        <w:t>s</w:t>
      </w:r>
      <w:r w:rsidRPr="00D536FC">
        <w:t>) involved in WASH (</w:t>
      </w:r>
      <w:r w:rsidR="0070161E">
        <w:t>senior t</w:t>
      </w:r>
      <w:r w:rsidRPr="00D536FC">
        <w:t>echnical WASH</w:t>
      </w:r>
      <w:r w:rsidR="0070161E">
        <w:t xml:space="preserve"> specialists and coordinators</w:t>
      </w:r>
      <w:r w:rsidRPr="00D536FC">
        <w:t>)</w:t>
      </w:r>
      <w:r w:rsidR="00343283">
        <w:t>.</w:t>
      </w:r>
    </w:p>
    <w:p w14:paraId="7737E877" w14:textId="77777777" w:rsidR="00D536FC" w:rsidRPr="00D536FC" w:rsidRDefault="00D536FC" w:rsidP="0070161E">
      <w:r w:rsidRPr="00D536FC">
        <w:t xml:space="preserve">The final composition of this TWiG will be reviewed and agreed by the Strategic Advisory Group (SAG). CAST will have the responsibility to manage the TWiG. </w:t>
      </w:r>
    </w:p>
    <w:p w14:paraId="36DE07C8" w14:textId="77777777" w:rsidR="00D536FC" w:rsidRPr="00C04D44" w:rsidRDefault="00D536FC" w:rsidP="0070161E">
      <w:pPr>
        <w:pStyle w:val="Heading3"/>
        <w:rPr>
          <w:rFonts w:eastAsia="Calibri"/>
        </w:rPr>
      </w:pPr>
      <w:r w:rsidRPr="00C04D44">
        <w:rPr>
          <w:rFonts w:eastAsia="Calibri"/>
        </w:rPr>
        <w:t>Duration</w:t>
      </w:r>
    </w:p>
    <w:p w14:paraId="7EDD4285" w14:textId="77777777" w:rsidR="00D536FC" w:rsidRPr="00D536FC" w:rsidRDefault="00D536FC" w:rsidP="0070161E">
      <w:r w:rsidRPr="00D536FC">
        <w:t xml:space="preserve">The TWiG is set up for an initial period of </w:t>
      </w:r>
      <w:r w:rsidR="0070161E">
        <w:t>9</w:t>
      </w:r>
      <w:r w:rsidRPr="00D536FC">
        <w:t xml:space="preserve"> months</w:t>
      </w:r>
      <w:r w:rsidR="0070161E">
        <w:t xml:space="preserve"> till December 31, 2018</w:t>
      </w:r>
      <w:r w:rsidRPr="00D536FC">
        <w:t xml:space="preserve">. </w:t>
      </w:r>
    </w:p>
    <w:p w14:paraId="094DD15F" w14:textId="77777777" w:rsidR="00D536FC" w:rsidRPr="00C04D44" w:rsidRDefault="00D536FC" w:rsidP="0070161E">
      <w:pPr>
        <w:pStyle w:val="Heading3"/>
        <w:rPr>
          <w:rFonts w:eastAsia="Calibri"/>
        </w:rPr>
      </w:pPr>
      <w:r w:rsidRPr="00C04D44">
        <w:rPr>
          <w:rFonts w:eastAsia="Calibri"/>
        </w:rPr>
        <w:t>Work</w:t>
      </w:r>
      <w:r w:rsidR="0070161E">
        <w:rPr>
          <w:rFonts w:eastAsia="Calibri"/>
        </w:rPr>
        <w:t>ing</w:t>
      </w:r>
      <w:r w:rsidRPr="00C04D44">
        <w:rPr>
          <w:rFonts w:eastAsia="Calibri"/>
        </w:rPr>
        <w:t xml:space="preserve"> Modalities</w:t>
      </w:r>
    </w:p>
    <w:p w14:paraId="0965D01A" w14:textId="77777777" w:rsidR="00D536FC" w:rsidRPr="00D536FC" w:rsidRDefault="00D536FC" w:rsidP="0070161E">
      <w:r w:rsidRPr="00D536FC">
        <w:t>The TWiG will be conducted primarily via teleconferencing with i</w:t>
      </w:r>
      <w:r w:rsidR="0070161E">
        <w:t xml:space="preserve">ndividual discussions with CAST. </w:t>
      </w:r>
      <w:r w:rsidRPr="00D536FC">
        <w:t>Based on the availability of the TWiG members, there is pot</w:t>
      </w:r>
      <w:r w:rsidR="0070161E">
        <w:t>ential for a one-day workshop during the second semester of 2018</w:t>
      </w:r>
      <w:r w:rsidRPr="00D536FC">
        <w:t xml:space="preserve">. </w:t>
      </w:r>
    </w:p>
    <w:sectPr w:rsidR="00D536FC" w:rsidRPr="00D536FC" w:rsidSect="00B23DDC">
      <w:headerReference w:type="default" r:id="rId11"/>
      <w:footerReference w:type="default" r:id="rId12"/>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D309E" w14:textId="77777777" w:rsidR="006A3ED6" w:rsidRDefault="006A3ED6" w:rsidP="00B23DDC">
      <w:r>
        <w:separator/>
      </w:r>
    </w:p>
  </w:endnote>
  <w:endnote w:type="continuationSeparator" w:id="0">
    <w:p w14:paraId="1D066515" w14:textId="77777777" w:rsidR="006A3ED6" w:rsidRDefault="006A3ED6" w:rsidP="00B23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CABA3" w14:textId="49C21FFC" w:rsidR="00D74619" w:rsidRPr="00832601" w:rsidRDefault="00D74619" w:rsidP="00832601">
    <w:pPr>
      <w:pStyle w:val="Quote"/>
      <w:tabs>
        <w:tab w:val="right" w:pos="9720"/>
      </w:tabs>
      <w:jc w:val="left"/>
      <w:rPr>
        <w:i w:val="0"/>
        <w:sz w:val="18"/>
        <w:szCs w:val="18"/>
      </w:rPr>
    </w:pPr>
    <w:r w:rsidRPr="00832601">
      <w:rPr>
        <w:i w:val="0"/>
        <w:noProof/>
        <w:color w:val="002060"/>
        <w:sz w:val="18"/>
        <w:szCs w:val="18"/>
        <w:lang w:val="en-US"/>
      </w:rPr>
      <w:drawing>
        <wp:anchor distT="0" distB="0" distL="114300" distR="114300" simplePos="0" relativeHeight="251659264" behindDoc="0" locked="0" layoutInCell="1" allowOverlap="1" wp14:anchorId="463A8FF5" wp14:editId="4FB17F32">
          <wp:simplePos x="0" y="0"/>
          <wp:positionH relativeFrom="column">
            <wp:posOffset>2677218</wp:posOffset>
          </wp:positionH>
          <wp:positionV relativeFrom="paragraph">
            <wp:posOffset>-103505</wp:posOffset>
          </wp:positionV>
          <wp:extent cx="1223645" cy="449580"/>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C Logo.png"/>
                  <pic:cNvPicPr/>
                </pic:nvPicPr>
                <pic:blipFill>
                  <a:blip r:embed="rId1">
                    <a:extLst>
                      <a:ext uri="{28A0092B-C50C-407E-A947-70E740481C1C}">
                        <a14:useLocalDpi xmlns:a14="http://schemas.microsoft.com/office/drawing/2010/main" val="0"/>
                      </a:ext>
                    </a:extLst>
                  </a:blip>
                  <a:stretch>
                    <a:fillRect/>
                  </a:stretch>
                </pic:blipFill>
                <pic:spPr>
                  <a:xfrm>
                    <a:off x="0" y="0"/>
                    <a:ext cx="1223645" cy="449580"/>
                  </a:xfrm>
                  <a:prstGeom prst="rect">
                    <a:avLst/>
                  </a:prstGeom>
                </pic:spPr>
              </pic:pic>
            </a:graphicData>
          </a:graphic>
        </wp:anchor>
      </w:drawing>
    </w:r>
    <w:r w:rsidR="002375DC">
      <w:rPr>
        <w:i w:val="0"/>
        <w:sz w:val="18"/>
        <w:szCs w:val="18"/>
      </w:rPr>
      <w:t>March</w:t>
    </w:r>
    <w:r w:rsidRPr="00832601">
      <w:rPr>
        <w:i w:val="0"/>
        <w:sz w:val="18"/>
        <w:szCs w:val="18"/>
      </w:rPr>
      <w:t xml:space="preserve"> 2018</w:t>
    </w:r>
    <w:r w:rsidRPr="00832601">
      <w:rPr>
        <w:i w:val="0"/>
        <w:sz w:val="18"/>
        <w:szCs w:val="18"/>
      </w:rPr>
      <w:tab/>
    </w:r>
    <w:sdt>
      <w:sdtPr>
        <w:rPr>
          <w:i w:val="0"/>
          <w:sz w:val="18"/>
          <w:szCs w:val="18"/>
        </w:rPr>
        <w:id w:val="-769937983"/>
        <w:docPartObj>
          <w:docPartGallery w:val="Page Numbers (Bottom of Page)"/>
          <w:docPartUnique/>
        </w:docPartObj>
      </w:sdtPr>
      <w:sdtEndPr/>
      <w:sdtContent>
        <w:r w:rsidR="00DC4ACE">
          <w:rPr>
            <w:i w:val="0"/>
            <w:sz w:val="18"/>
            <w:szCs w:val="18"/>
          </w:rPr>
          <w:t>Page</w:t>
        </w:r>
        <w:r w:rsidRPr="00832601">
          <w:rPr>
            <w:i w:val="0"/>
            <w:sz w:val="18"/>
            <w:szCs w:val="18"/>
          </w:rPr>
          <w:t xml:space="preserve"> </w:t>
        </w:r>
        <w:r w:rsidRPr="00832601">
          <w:rPr>
            <w:i w:val="0"/>
            <w:sz w:val="18"/>
            <w:szCs w:val="18"/>
          </w:rPr>
          <w:fldChar w:fldCharType="begin"/>
        </w:r>
        <w:r w:rsidRPr="00832601">
          <w:rPr>
            <w:i w:val="0"/>
            <w:sz w:val="18"/>
            <w:szCs w:val="18"/>
          </w:rPr>
          <w:instrText xml:space="preserve"> PAGE   \* MERGEFORMAT </w:instrText>
        </w:r>
        <w:r w:rsidRPr="00832601">
          <w:rPr>
            <w:i w:val="0"/>
            <w:sz w:val="18"/>
            <w:szCs w:val="18"/>
          </w:rPr>
          <w:fldChar w:fldCharType="separate"/>
        </w:r>
        <w:r w:rsidR="00E829F0" w:rsidRPr="00E829F0">
          <w:rPr>
            <w:noProof/>
            <w:sz w:val="18"/>
            <w:szCs w:val="18"/>
          </w:rPr>
          <w:t>3</w:t>
        </w:r>
        <w:r w:rsidRPr="00832601">
          <w:rPr>
            <w:i w:val="0"/>
            <w:noProof/>
            <w:sz w:val="18"/>
            <w:szCs w:val="18"/>
          </w:rPr>
          <w:fldChar w:fldCharType="end"/>
        </w:r>
        <w:r w:rsidRPr="00832601">
          <w:rPr>
            <w:i w:val="0"/>
            <w:sz w:val="18"/>
            <w:szCs w:val="18"/>
          </w:rPr>
          <w:t xml:space="preserve"> </w:t>
        </w:r>
      </w:sdtContent>
    </w:sdt>
  </w:p>
  <w:p w14:paraId="0991684E" w14:textId="77777777" w:rsidR="00D74619" w:rsidRPr="00832601" w:rsidRDefault="00D74619" w:rsidP="00832601">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AD204A" w14:textId="77777777" w:rsidR="006A3ED6" w:rsidRDefault="006A3ED6" w:rsidP="00B23DDC">
      <w:r>
        <w:separator/>
      </w:r>
    </w:p>
  </w:footnote>
  <w:footnote w:type="continuationSeparator" w:id="0">
    <w:p w14:paraId="2F8FF4CD" w14:textId="77777777" w:rsidR="006A3ED6" w:rsidRDefault="006A3ED6" w:rsidP="00B23DDC">
      <w:r>
        <w:continuationSeparator/>
      </w:r>
    </w:p>
  </w:footnote>
  <w:footnote w:id="1">
    <w:p w14:paraId="67698F28" w14:textId="4F49D95B" w:rsidR="008E2E22" w:rsidRDefault="008E2E22">
      <w:pPr>
        <w:pStyle w:val="FootnoteText"/>
        <w:rPr>
          <w:sz w:val="20"/>
        </w:rPr>
      </w:pPr>
      <w:r w:rsidRPr="008E2E22">
        <w:rPr>
          <w:rStyle w:val="FootnoteReference"/>
          <w:sz w:val="20"/>
        </w:rPr>
        <w:footnoteRef/>
      </w:r>
      <w:r w:rsidRPr="008E2E22">
        <w:rPr>
          <w:sz w:val="20"/>
        </w:rPr>
        <w:t xml:space="preserve"> </w:t>
      </w:r>
      <w:r>
        <w:rPr>
          <w:sz w:val="20"/>
        </w:rPr>
        <w:t>For th</w:t>
      </w:r>
      <w:r w:rsidR="00D85973">
        <w:rPr>
          <w:sz w:val="20"/>
        </w:rPr>
        <w:t>is</w:t>
      </w:r>
      <w:r>
        <w:rPr>
          <w:sz w:val="20"/>
        </w:rPr>
        <w:t xml:space="preserve"> specific document, t</w:t>
      </w:r>
      <w:r w:rsidRPr="008E2E22">
        <w:rPr>
          <w:sz w:val="20"/>
        </w:rPr>
        <w:t xml:space="preserve">he word </w:t>
      </w:r>
      <w:r w:rsidRPr="008E2E22">
        <w:rPr>
          <w:i/>
          <w:sz w:val="20"/>
        </w:rPr>
        <w:t>cluster</w:t>
      </w:r>
      <w:r w:rsidRPr="008E2E22">
        <w:rPr>
          <w:sz w:val="20"/>
        </w:rPr>
        <w:t xml:space="preserve"> will be used also to designate </w:t>
      </w:r>
      <w:r>
        <w:rPr>
          <w:sz w:val="20"/>
        </w:rPr>
        <w:t xml:space="preserve">the </w:t>
      </w:r>
      <w:r w:rsidRPr="008E2E22">
        <w:rPr>
          <w:i/>
          <w:sz w:val="20"/>
        </w:rPr>
        <w:t>sector</w:t>
      </w:r>
      <w:r>
        <w:rPr>
          <w:sz w:val="20"/>
        </w:rPr>
        <w:t xml:space="preserve">, when the response is implemented </w:t>
      </w:r>
      <w:r>
        <w:rPr>
          <w:sz w:val="20"/>
        </w:rPr>
        <w:br/>
        <w:t xml:space="preserve">  in a country where the cluster</w:t>
      </w:r>
      <w:r w:rsidR="00060F8B">
        <w:rPr>
          <w:sz w:val="20"/>
        </w:rPr>
        <w:t xml:space="preserve"> approach is not activated.</w:t>
      </w:r>
    </w:p>
    <w:p w14:paraId="57A5E43F" w14:textId="77777777" w:rsidR="008E2E22" w:rsidRPr="008E2E22" w:rsidRDefault="008E2E22">
      <w:pPr>
        <w:pStyle w:val="FootnoteText"/>
        <w:rPr>
          <w:sz w:val="20"/>
        </w:rPr>
      </w:pPr>
    </w:p>
  </w:footnote>
  <w:footnote w:id="2">
    <w:p w14:paraId="1F1351D1" w14:textId="1C0747DE" w:rsidR="009F7DCC" w:rsidRDefault="009F7DCC" w:rsidP="009F7DCC">
      <w:pPr>
        <w:pStyle w:val="FootnoteText"/>
        <w:tabs>
          <w:tab w:val="left" w:pos="90"/>
        </w:tabs>
        <w:ind w:left="90" w:hanging="90"/>
      </w:pPr>
      <w:r w:rsidRPr="009F7DCC">
        <w:rPr>
          <w:rStyle w:val="FootnoteReference"/>
          <w:sz w:val="20"/>
        </w:rPr>
        <w:footnoteRef/>
      </w:r>
      <w:r w:rsidRPr="009F7DCC">
        <w:rPr>
          <w:sz w:val="20"/>
        </w:rPr>
        <w:t xml:space="preserve"> The coordination is structured around six core functions and one requirement (on accountability to affected populations) that have been formally described in the Cluster Coordination Reference Module edited by the Inter-Agency Standing Committee (IASC) in 2015. Based on this document, the Global WASH Cluster (GWC) has developed Minimum Requirements on cluster coordination that each National Humanitarian WASH Coordination Platform (NHWCP) should meet to fulfil their role. These requirements provide the framework against which the performance of the coordination can be monitored</w:t>
      </w:r>
    </w:p>
  </w:footnote>
  <w:footnote w:id="3">
    <w:p w14:paraId="12322240" w14:textId="77777777" w:rsidR="00C04D44" w:rsidRDefault="00C04D44">
      <w:pPr>
        <w:pStyle w:val="FootnoteText"/>
        <w:rPr>
          <w:sz w:val="20"/>
          <w:szCs w:val="18"/>
        </w:rPr>
      </w:pPr>
      <w:r w:rsidRPr="00C04D44">
        <w:rPr>
          <w:rStyle w:val="FootnoteReference"/>
          <w:sz w:val="20"/>
          <w:szCs w:val="18"/>
        </w:rPr>
        <w:footnoteRef/>
      </w:r>
      <w:r w:rsidRPr="00C04D44">
        <w:rPr>
          <w:sz w:val="20"/>
          <w:szCs w:val="18"/>
        </w:rPr>
        <w:t xml:space="preserve"> Relevance</w:t>
      </w:r>
      <w:r>
        <w:rPr>
          <w:sz w:val="20"/>
          <w:szCs w:val="18"/>
        </w:rPr>
        <w:t>, appropriateness, effectiveness, efficiency and timeliness.</w:t>
      </w:r>
    </w:p>
    <w:p w14:paraId="2858B12A" w14:textId="77777777" w:rsidR="00D91FD5" w:rsidRPr="00C04D44" w:rsidRDefault="00D91FD5">
      <w:pPr>
        <w:pStyle w:val="FootnoteText"/>
        <w:rPr>
          <w:sz w:val="20"/>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0AAB10" w14:textId="77777777" w:rsidR="00D74619" w:rsidRPr="00B23DDC" w:rsidRDefault="00D74619" w:rsidP="00B23DDC"/>
  <w:p w14:paraId="0751889D" w14:textId="77777777" w:rsidR="00D74619" w:rsidRPr="00B23DDC" w:rsidRDefault="00D74619" w:rsidP="00B23D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66EF6"/>
    <w:multiLevelType w:val="hybridMultilevel"/>
    <w:tmpl w:val="3B6619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084241"/>
    <w:multiLevelType w:val="multilevel"/>
    <w:tmpl w:val="54908670"/>
    <w:numStyleLink w:val="Style1"/>
  </w:abstractNum>
  <w:abstractNum w:abstractNumId="2" w15:restartNumberingAfterBreak="0">
    <w:nsid w:val="03906DAB"/>
    <w:multiLevelType w:val="hybridMultilevel"/>
    <w:tmpl w:val="05E681F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09DD1F36"/>
    <w:multiLevelType w:val="hybridMultilevel"/>
    <w:tmpl w:val="4506831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D436E01"/>
    <w:multiLevelType w:val="hybridMultilevel"/>
    <w:tmpl w:val="EC4A54B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E7542AE"/>
    <w:multiLevelType w:val="hybridMultilevel"/>
    <w:tmpl w:val="6B90DC9C"/>
    <w:lvl w:ilvl="0" w:tplc="7122A918">
      <w:numFmt w:val="bullet"/>
      <w:lvlText w:val="-"/>
      <w:lvlJc w:val="left"/>
      <w:pPr>
        <w:ind w:left="1080" w:hanging="360"/>
      </w:pPr>
      <w:rPr>
        <w:rFonts w:ascii="Arial Narrow" w:eastAsiaTheme="minorEastAsia" w:hAnsi="Arial Narrow"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15:restartNumberingAfterBreak="0">
    <w:nsid w:val="0FC811EB"/>
    <w:multiLevelType w:val="multilevel"/>
    <w:tmpl w:val="39CEEAEA"/>
    <w:lvl w:ilvl="0">
      <w:start w:val="1"/>
      <w:numFmt w:val="decimal"/>
      <w:lvlText w:val="%1"/>
      <w:lvlJc w:val="left"/>
      <w:pPr>
        <w:ind w:left="795" w:hanging="795"/>
      </w:pPr>
      <w:rPr>
        <w:rFonts w:hint="default"/>
      </w:rPr>
    </w:lvl>
    <w:lvl w:ilvl="1">
      <w:start w:val="1"/>
      <w:numFmt w:val="decimal"/>
      <w:lvlText w:val="%1.%2"/>
      <w:lvlJc w:val="left"/>
      <w:pPr>
        <w:ind w:left="915" w:hanging="795"/>
      </w:pPr>
      <w:rPr>
        <w:rFonts w:hint="default"/>
      </w:rPr>
    </w:lvl>
    <w:lvl w:ilvl="2">
      <w:start w:val="1"/>
      <w:numFmt w:val="decimal"/>
      <w:lvlText w:val="%1.%2.%3"/>
      <w:lvlJc w:val="left"/>
      <w:pPr>
        <w:ind w:left="1035" w:hanging="795"/>
      </w:pPr>
      <w:rPr>
        <w:rFonts w:hint="default"/>
      </w:rPr>
    </w:lvl>
    <w:lvl w:ilvl="3">
      <w:start w:val="1"/>
      <w:numFmt w:val="decimal"/>
      <w:lvlText w:val="%1.%2.%3.%4"/>
      <w:lvlJc w:val="left"/>
      <w:pPr>
        <w:ind w:left="1155" w:hanging="795"/>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400" w:hanging="1440"/>
      </w:pPr>
      <w:rPr>
        <w:rFonts w:hint="default"/>
      </w:rPr>
    </w:lvl>
  </w:abstractNum>
  <w:abstractNum w:abstractNumId="7" w15:restartNumberingAfterBreak="0">
    <w:nsid w:val="11DF58BA"/>
    <w:multiLevelType w:val="hybridMultilevel"/>
    <w:tmpl w:val="D7B49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987D69"/>
    <w:multiLevelType w:val="hybridMultilevel"/>
    <w:tmpl w:val="08EE0B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32D6495"/>
    <w:multiLevelType w:val="hybridMultilevel"/>
    <w:tmpl w:val="DC38D5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F2D3C4B"/>
    <w:multiLevelType w:val="hybridMultilevel"/>
    <w:tmpl w:val="2EB06B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0923DE4"/>
    <w:multiLevelType w:val="hybridMultilevel"/>
    <w:tmpl w:val="E5FEFA3A"/>
    <w:lvl w:ilvl="0" w:tplc="8800DBB8">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3396C28"/>
    <w:multiLevelType w:val="hybridMultilevel"/>
    <w:tmpl w:val="FFD6812A"/>
    <w:lvl w:ilvl="0" w:tplc="7862E03C">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42F6511"/>
    <w:multiLevelType w:val="multilevel"/>
    <w:tmpl w:val="EDCC4070"/>
    <w:lvl w:ilvl="0">
      <w:start w:val="1"/>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4" w15:restartNumberingAfterBreak="0">
    <w:nsid w:val="27EC528A"/>
    <w:multiLevelType w:val="hybridMultilevel"/>
    <w:tmpl w:val="3C32D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2451F1"/>
    <w:multiLevelType w:val="hybridMultilevel"/>
    <w:tmpl w:val="3086CE24"/>
    <w:lvl w:ilvl="0" w:tplc="A71EDD94">
      <w:numFmt w:val="bullet"/>
      <w:lvlText w:val="-"/>
      <w:lvlJc w:val="left"/>
      <w:pPr>
        <w:ind w:left="720" w:hanging="360"/>
      </w:pPr>
      <w:rPr>
        <w:rFonts w:ascii="Calibri" w:eastAsiaTheme="minorEastAsia"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0810E56"/>
    <w:multiLevelType w:val="multilevel"/>
    <w:tmpl w:val="016CFA7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17" w15:restartNumberingAfterBreak="0">
    <w:nsid w:val="31182BC9"/>
    <w:multiLevelType w:val="hybridMultilevel"/>
    <w:tmpl w:val="52FE4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3AF6B7E"/>
    <w:multiLevelType w:val="multilevel"/>
    <w:tmpl w:val="54908670"/>
    <w:styleLink w:val="Style1"/>
    <w:lvl w:ilvl="0">
      <w:start w:val="1"/>
      <w:numFmt w:val="lowerRoman"/>
      <w:lvlText w:val="%1"/>
      <w:lvlJc w:val="left"/>
      <w:pPr>
        <w:ind w:left="720" w:hanging="360"/>
      </w:pPr>
      <w:rPr>
        <w:rFonts w:ascii="Times New Roman" w:hAnsi="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4E909B2"/>
    <w:multiLevelType w:val="hybridMultilevel"/>
    <w:tmpl w:val="437A1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9FB1962"/>
    <w:multiLevelType w:val="hybridMultilevel"/>
    <w:tmpl w:val="16FC231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1" w15:restartNumberingAfterBreak="0">
    <w:nsid w:val="3A853BB8"/>
    <w:multiLevelType w:val="hybridMultilevel"/>
    <w:tmpl w:val="9B7C5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BE5087"/>
    <w:multiLevelType w:val="multilevel"/>
    <w:tmpl w:val="C94AB460"/>
    <w:lvl w:ilvl="0">
      <w:start w:val="1"/>
      <w:numFmt w:val="decimal"/>
      <w:lvlText w:val="%1."/>
      <w:lvlJc w:val="left"/>
      <w:pPr>
        <w:ind w:left="360" w:hanging="360"/>
      </w:pPr>
      <w:rPr>
        <w:rFonts w:hint="default"/>
      </w:rPr>
    </w:lvl>
    <w:lvl w:ilvl="1">
      <w:start w:val="1"/>
      <w:numFmt w:val="decimal"/>
      <w:lvlText w:val="%1.%2."/>
      <w:lvlJc w:val="left"/>
      <w:pPr>
        <w:ind w:left="822" w:hanging="462"/>
      </w:pPr>
      <w:rPr>
        <w:rFonts w:hint="default"/>
      </w:rPr>
    </w:lvl>
    <w:lvl w:ilvl="2">
      <w:start w:val="1"/>
      <w:numFmt w:val="decimal"/>
      <w:lvlText w:val="%1.%2.%3."/>
      <w:lvlJc w:val="left"/>
      <w:pPr>
        <w:ind w:left="907" w:hanging="550"/>
      </w:pPr>
      <w:rPr>
        <w:rFonts w:hint="default"/>
      </w:rPr>
    </w:lvl>
    <w:lvl w:ilvl="3">
      <w:start w:val="1"/>
      <w:numFmt w:val="decimal"/>
      <w:lvlText w:val="%1.%2.%3.%4."/>
      <w:lvlJc w:val="left"/>
      <w:pPr>
        <w:ind w:left="1077" w:hanging="720"/>
      </w:pPr>
      <w:rPr>
        <w:rFonts w:hint="default"/>
      </w:rPr>
    </w:lvl>
    <w:lvl w:ilvl="4">
      <w:start w:val="1"/>
      <w:numFmt w:val="decimal"/>
      <w:lvlText w:val="%1.%2.%3.%4.%5."/>
      <w:lvlJc w:val="left"/>
      <w:pPr>
        <w:ind w:left="1191" w:hanging="834"/>
      </w:pPr>
      <w:rPr>
        <w:rFonts w:hint="default"/>
      </w:rPr>
    </w:lvl>
    <w:lvl w:ilvl="5">
      <w:start w:val="1"/>
      <w:numFmt w:val="decimal"/>
      <w:lvlText w:val="%1.%2.%3.%4.%5.%6."/>
      <w:lvlJc w:val="left"/>
      <w:pPr>
        <w:ind w:left="1304" w:hanging="947"/>
      </w:pPr>
      <w:rPr>
        <w:rFonts w:hint="default"/>
      </w:rPr>
    </w:lvl>
    <w:lvl w:ilvl="6">
      <w:start w:val="1"/>
      <w:numFmt w:val="decimal"/>
      <w:lvlText w:val="%1.%2.%3.%4.%5.%6.%7."/>
      <w:lvlJc w:val="left"/>
      <w:pPr>
        <w:ind w:left="1418" w:hanging="1061"/>
      </w:pPr>
      <w:rPr>
        <w:rFonts w:hint="default"/>
      </w:rPr>
    </w:lvl>
    <w:lvl w:ilvl="7">
      <w:start w:val="1"/>
      <w:numFmt w:val="decimal"/>
      <w:lvlText w:val="%1.%2.%3.%4.%5.%6.%7.%8."/>
      <w:lvlJc w:val="left"/>
      <w:pPr>
        <w:ind w:left="1531" w:hanging="1174"/>
      </w:pPr>
      <w:rPr>
        <w:rFonts w:hint="default"/>
      </w:rPr>
    </w:lvl>
    <w:lvl w:ilvl="8">
      <w:start w:val="1"/>
      <w:numFmt w:val="decimal"/>
      <w:lvlText w:val="%1.%2.%3.%4.%5.%6.%7.%8.%9."/>
      <w:lvlJc w:val="left"/>
      <w:pPr>
        <w:ind w:left="1644" w:hanging="1287"/>
      </w:pPr>
      <w:rPr>
        <w:rFonts w:hint="default"/>
      </w:rPr>
    </w:lvl>
  </w:abstractNum>
  <w:abstractNum w:abstractNumId="23" w15:restartNumberingAfterBreak="0">
    <w:nsid w:val="3CF4148E"/>
    <w:multiLevelType w:val="hybridMultilevel"/>
    <w:tmpl w:val="69BCD8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4C49E5"/>
    <w:multiLevelType w:val="hybridMultilevel"/>
    <w:tmpl w:val="35E26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C2286C"/>
    <w:multiLevelType w:val="hybridMultilevel"/>
    <w:tmpl w:val="60F4D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FAA6EBD"/>
    <w:multiLevelType w:val="hybridMultilevel"/>
    <w:tmpl w:val="470E3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16966CA"/>
    <w:multiLevelType w:val="hybridMultilevel"/>
    <w:tmpl w:val="26A27DE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8" w15:restartNumberingAfterBreak="0">
    <w:nsid w:val="52152EF8"/>
    <w:multiLevelType w:val="hybridMultilevel"/>
    <w:tmpl w:val="12627FAE"/>
    <w:lvl w:ilvl="0" w:tplc="FEEC6982">
      <w:numFmt w:val="bullet"/>
      <w:lvlText w:val="-"/>
      <w:lvlJc w:val="left"/>
      <w:pPr>
        <w:ind w:left="1080" w:hanging="360"/>
      </w:pPr>
      <w:rPr>
        <w:rFonts w:ascii="Arial Narrow" w:eastAsiaTheme="minorEastAsia" w:hAnsi="Arial Narrow"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9" w15:restartNumberingAfterBreak="0">
    <w:nsid w:val="591E202D"/>
    <w:multiLevelType w:val="hybridMultilevel"/>
    <w:tmpl w:val="A2C84C36"/>
    <w:lvl w:ilvl="0" w:tplc="8800DBB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5A2A4C31"/>
    <w:multiLevelType w:val="hybridMultilevel"/>
    <w:tmpl w:val="94E48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681E68"/>
    <w:multiLevelType w:val="hybridMultilevel"/>
    <w:tmpl w:val="B4C8D52C"/>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A8F7A3A"/>
    <w:multiLevelType w:val="hybridMultilevel"/>
    <w:tmpl w:val="B9824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424BFA"/>
    <w:multiLevelType w:val="hybridMultilevel"/>
    <w:tmpl w:val="C0EA65CE"/>
    <w:lvl w:ilvl="0" w:tplc="7862E03C">
      <w:start w:val="1"/>
      <w:numFmt w:val="decimal"/>
      <w:lvlText w:val="%1)"/>
      <w:lvlJc w:val="left"/>
      <w:pPr>
        <w:ind w:left="720" w:hanging="360"/>
      </w:pPr>
      <w:rPr>
        <w:rFonts w:hint="default"/>
        <w:b/>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60A71F25"/>
    <w:multiLevelType w:val="hybridMultilevel"/>
    <w:tmpl w:val="25163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A043A1"/>
    <w:multiLevelType w:val="hybridMultilevel"/>
    <w:tmpl w:val="C4CA2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7741F61"/>
    <w:multiLevelType w:val="hybridMultilevel"/>
    <w:tmpl w:val="512EA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9495BA9"/>
    <w:multiLevelType w:val="hybridMultilevel"/>
    <w:tmpl w:val="417A3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B3A5B3B"/>
    <w:multiLevelType w:val="hybridMultilevel"/>
    <w:tmpl w:val="46603604"/>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DFF0F45"/>
    <w:multiLevelType w:val="hybridMultilevel"/>
    <w:tmpl w:val="E266E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EA50EE4"/>
    <w:multiLevelType w:val="hybridMultilevel"/>
    <w:tmpl w:val="DE285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4373A1E"/>
    <w:multiLevelType w:val="hybridMultilevel"/>
    <w:tmpl w:val="D78CB1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76539E2"/>
    <w:multiLevelType w:val="hybridMultilevel"/>
    <w:tmpl w:val="9C5A9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B042B32"/>
    <w:multiLevelType w:val="hybridMultilevel"/>
    <w:tmpl w:val="999ED7F8"/>
    <w:lvl w:ilvl="0" w:tplc="403498E2">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16"/>
  </w:num>
  <w:num w:numId="4">
    <w:abstractNumId w:val="6"/>
  </w:num>
  <w:num w:numId="5">
    <w:abstractNumId w:val="41"/>
  </w:num>
  <w:num w:numId="6">
    <w:abstractNumId w:val="13"/>
  </w:num>
  <w:num w:numId="7">
    <w:abstractNumId w:val="29"/>
  </w:num>
  <w:num w:numId="8">
    <w:abstractNumId w:val="22"/>
  </w:num>
  <w:num w:numId="9">
    <w:abstractNumId w:val="11"/>
  </w:num>
  <w:num w:numId="10">
    <w:abstractNumId w:val="31"/>
  </w:num>
  <w:num w:numId="11">
    <w:abstractNumId w:val="37"/>
  </w:num>
  <w:num w:numId="12">
    <w:abstractNumId w:val="8"/>
  </w:num>
  <w:num w:numId="13">
    <w:abstractNumId w:val="17"/>
  </w:num>
  <w:num w:numId="14">
    <w:abstractNumId w:val="26"/>
  </w:num>
  <w:num w:numId="15">
    <w:abstractNumId w:val="39"/>
  </w:num>
  <w:num w:numId="16">
    <w:abstractNumId w:val="36"/>
  </w:num>
  <w:num w:numId="17">
    <w:abstractNumId w:val="19"/>
  </w:num>
  <w:num w:numId="18">
    <w:abstractNumId w:val="7"/>
  </w:num>
  <w:num w:numId="19">
    <w:abstractNumId w:val="2"/>
  </w:num>
  <w:num w:numId="20">
    <w:abstractNumId w:val="15"/>
  </w:num>
  <w:num w:numId="21">
    <w:abstractNumId w:val="33"/>
  </w:num>
  <w:num w:numId="22">
    <w:abstractNumId w:val="12"/>
  </w:num>
  <w:num w:numId="23">
    <w:abstractNumId w:val="3"/>
  </w:num>
  <w:num w:numId="24">
    <w:abstractNumId w:val="9"/>
  </w:num>
  <w:num w:numId="25">
    <w:abstractNumId w:val="28"/>
  </w:num>
  <w:num w:numId="26">
    <w:abstractNumId w:val="5"/>
  </w:num>
  <w:num w:numId="27">
    <w:abstractNumId w:val="27"/>
  </w:num>
  <w:num w:numId="28">
    <w:abstractNumId w:val="42"/>
  </w:num>
  <w:num w:numId="29">
    <w:abstractNumId w:val="4"/>
  </w:num>
  <w:num w:numId="30">
    <w:abstractNumId w:val="18"/>
  </w:num>
  <w:num w:numId="31">
    <w:abstractNumId w:val="1"/>
    <w:lvlOverride w:ilvl="0">
      <w:lvl w:ilvl="0">
        <w:start w:val="1"/>
        <w:numFmt w:val="lowerRoman"/>
        <w:lvlText w:val="%1"/>
        <w:lvlJc w:val="left"/>
        <w:pPr>
          <w:ind w:left="720" w:hanging="360"/>
        </w:pPr>
        <w:rPr>
          <w:rFonts w:asciiTheme="minorBidi" w:hAnsiTheme="minorBidi" w:cstheme="minorBidi" w:hint="default"/>
        </w:rPr>
      </w:lvl>
    </w:lvlOverride>
  </w:num>
  <w:num w:numId="32">
    <w:abstractNumId w:val="43"/>
  </w:num>
  <w:num w:numId="33">
    <w:abstractNumId w:val="25"/>
  </w:num>
  <w:num w:numId="34">
    <w:abstractNumId w:val="35"/>
  </w:num>
  <w:num w:numId="35">
    <w:abstractNumId w:val="30"/>
  </w:num>
  <w:num w:numId="36">
    <w:abstractNumId w:val="38"/>
  </w:num>
  <w:num w:numId="37">
    <w:abstractNumId w:val="21"/>
  </w:num>
  <w:num w:numId="38">
    <w:abstractNumId w:val="23"/>
  </w:num>
  <w:num w:numId="39">
    <w:abstractNumId w:val="20"/>
  </w:num>
  <w:num w:numId="40">
    <w:abstractNumId w:val="0"/>
  </w:num>
  <w:num w:numId="41">
    <w:abstractNumId w:val="34"/>
  </w:num>
  <w:num w:numId="42">
    <w:abstractNumId w:val="32"/>
  </w:num>
  <w:num w:numId="43">
    <w:abstractNumId w:val="24"/>
  </w:num>
  <w:num w:numId="44">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drawingGridHorizontalSpacing w:val="91"/>
  <w:drawingGridVerticalSpacing w:val="9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C5D"/>
    <w:rsid w:val="00006658"/>
    <w:rsid w:val="00013D97"/>
    <w:rsid w:val="00030530"/>
    <w:rsid w:val="0004139B"/>
    <w:rsid w:val="00046710"/>
    <w:rsid w:val="00050309"/>
    <w:rsid w:val="00060F8B"/>
    <w:rsid w:val="00062558"/>
    <w:rsid w:val="00071D43"/>
    <w:rsid w:val="00076131"/>
    <w:rsid w:val="000874E5"/>
    <w:rsid w:val="00090A37"/>
    <w:rsid w:val="00091764"/>
    <w:rsid w:val="00091BE2"/>
    <w:rsid w:val="000A4143"/>
    <w:rsid w:val="000B147F"/>
    <w:rsid w:val="000B189D"/>
    <w:rsid w:val="000B3B61"/>
    <w:rsid w:val="000B4FB0"/>
    <w:rsid w:val="000C5665"/>
    <w:rsid w:val="000D2687"/>
    <w:rsid w:val="000D5F34"/>
    <w:rsid w:val="000F170F"/>
    <w:rsid w:val="001002AD"/>
    <w:rsid w:val="001011E9"/>
    <w:rsid w:val="00110270"/>
    <w:rsid w:val="00113900"/>
    <w:rsid w:val="00114C1F"/>
    <w:rsid w:val="00116D41"/>
    <w:rsid w:val="001171B8"/>
    <w:rsid w:val="001244BB"/>
    <w:rsid w:val="00125E55"/>
    <w:rsid w:val="001312DF"/>
    <w:rsid w:val="00131AE8"/>
    <w:rsid w:val="001362D7"/>
    <w:rsid w:val="001570ED"/>
    <w:rsid w:val="00161C31"/>
    <w:rsid w:val="0016205E"/>
    <w:rsid w:val="00162AA8"/>
    <w:rsid w:val="00163E2F"/>
    <w:rsid w:val="00164C2F"/>
    <w:rsid w:val="00172B4E"/>
    <w:rsid w:val="001767A4"/>
    <w:rsid w:val="00192EED"/>
    <w:rsid w:val="001A52BA"/>
    <w:rsid w:val="001A74CC"/>
    <w:rsid w:val="001A7770"/>
    <w:rsid w:val="001D198E"/>
    <w:rsid w:val="001D6367"/>
    <w:rsid w:val="001E4389"/>
    <w:rsid w:val="001F18F1"/>
    <w:rsid w:val="00203D40"/>
    <w:rsid w:val="00205387"/>
    <w:rsid w:val="0021296D"/>
    <w:rsid w:val="00212EBD"/>
    <w:rsid w:val="002154CA"/>
    <w:rsid w:val="00217E6B"/>
    <w:rsid w:val="00223F7D"/>
    <w:rsid w:val="002375DC"/>
    <w:rsid w:val="0024055B"/>
    <w:rsid w:val="002406C6"/>
    <w:rsid w:val="00241F07"/>
    <w:rsid w:val="00242BBA"/>
    <w:rsid w:val="00246438"/>
    <w:rsid w:val="0026022B"/>
    <w:rsid w:val="0026576D"/>
    <w:rsid w:val="00273B7C"/>
    <w:rsid w:val="00276798"/>
    <w:rsid w:val="002852B6"/>
    <w:rsid w:val="002856C7"/>
    <w:rsid w:val="00291988"/>
    <w:rsid w:val="0029247B"/>
    <w:rsid w:val="002A04AE"/>
    <w:rsid w:val="002A2A7D"/>
    <w:rsid w:val="002B0591"/>
    <w:rsid w:val="002B680E"/>
    <w:rsid w:val="002C0FCC"/>
    <w:rsid w:val="002C2EE4"/>
    <w:rsid w:val="002C30A4"/>
    <w:rsid w:val="002D4194"/>
    <w:rsid w:val="002E1D60"/>
    <w:rsid w:val="002E28D1"/>
    <w:rsid w:val="002E64B5"/>
    <w:rsid w:val="002E6B43"/>
    <w:rsid w:val="002F0383"/>
    <w:rsid w:val="002F3F2F"/>
    <w:rsid w:val="002F7B37"/>
    <w:rsid w:val="00307310"/>
    <w:rsid w:val="00307713"/>
    <w:rsid w:val="00315C0F"/>
    <w:rsid w:val="00320A52"/>
    <w:rsid w:val="003232A2"/>
    <w:rsid w:val="00325A08"/>
    <w:rsid w:val="003321B5"/>
    <w:rsid w:val="00343283"/>
    <w:rsid w:val="00345514"/>
    <w:rsid w:val="00346482"/>
    <w:rsid w:val="003738B6"/>
    <w:rsid w:val="00391887"/>
    <w:rsid w:val="0039539C"/>
    <w:rsid w:val="003954BE"/>
    <w:rsid w:val="003A4B8D"/>
    <w:rsid w:val="003B26C0"/>
    <w:rsid w:val="003B6BAD"/>
    <w:rsid w:val="003C0D47"/>
    <w:rsid w:val="003C38D1"/>
    <w:rsid w:val="003C582E"/>
    <w:rsid w:val="003D3B37"/>
    <w:rsid w:val="003E70F6"/>
    <w:rsid w:val="003E71BC"/>
    <w:rsid w:val="003F4219"/>
    <w:rsid w:val="00400881"/>
    <w:rsid w:val="00400A3D"/>
    <w:rsid w:val="004019B6"/>
    <w:rsid w:val="00421FDC"/>
    <w:rsid w:val="004424C8"/>
    <w:rsid w:val="004451D3"/>
    <w:rsid w:val="00446AC9"/>
    <w:rsid w:val="00454DFD"/>
    <w:rsid w:val="004550B9"/>
    <w:rsid w:val="00455274"/>
    <w:rsid w:val="00455A19"/>
    <w:rsid w:val="004674BD"/>
    <w:rsid w:val="00477BB3"/>
    <w:rsid w:val="00483E5C"/>
    <w:rsid w:val="00485BF9"/>
    <w:rsid w:val="00485CDA"/>
    <w:rsid w:val="00487FB6"/>
    <w:rsid w:val="004A246E"/>
    <w:rsid w:val="004C1945"/>
    <w:rsid w:val="004C7173"/>
    <w:rsid w:val="004D09D4"/>
    <w:rsid w:val="004D4B4A"/>
    <w:rsid w:val="004E622D"/>
    <w:rsid w:val="004F53AA"/>
    <w:rsid w:val="0050238A"/>
    <w:rsid w:val="0050377B"/>
    <w:rsid w:val="00510903"/>
    <w:rsid w:val="0051752C"/>
    <w:rsid w:val="00523A33"/>
    <w:rsid w:val="005260B4"/>
    <w:rsid w:val="0053049C"/>
    <w:rsid w:val="00532628"/>
    <w:rsid w:val="0053395D"/>
    <w:rsid w:val="00547258"/>
    <w:rsid w:val="00556B97"/>
    <w:rsid w:val="00567F7D"/>
    <w:rsid w:val="0057408E"/>
    <w:rsid w:val="00584F10"/>
    <w:rsid w:val="005B7B5E"/>
    <w:rsid w:val="005C109D"/>
    <w:rsid w:val="005C1B4E"/>
    <w:rsid w:val="005C324F"/>
    <w:rsid w:val="005D219E"/>
    <w:rsid w:val="005D2A9A"/>
    <w:rsid w:val="005D337A"/>
    <w:rsid w:val="005D6DF3"/>
    <w:rsid w:val="005E48F1"/>
    <w:rsid w:val="005E4EB1"/>
    <w:rsid w:val="005E6B61"/>
    <w:rsid w:val="005F0D53"/>
    <w:rsid w:val="005F3DFF"/>
    <w:rsid w:val="005F57A6"/>
    <w:rsid w:val="00606EE7"/>
    <w:rsid w:val="00611617"/>
    <w:rsid w:val="00614602"/>
    <w:rsid w:val="00615231"/>
    <w:rsid w:val="006230BF"/>
    <w:rsid w:val="00640275"/>
    <w:rsid w:val="00643791"/>
    <w:rsid w:val="00645833"/>
    <w:rsid w:val="00654B27"/>
    <w:rsid w:val="00657666"/>
    <w:rsid w:val="00661014"/>
    <w:rsid w:val="0067682B"/>
    <w:rsid w:val="00677930"/>
    <w:rsid w:val="00687199"/>
    <w:rsid w:val="006900F1"/>
    <w:rsid w:val="00690722"/>
    <w:rsid w:val="00694025"/>
    <w:rsid w:val="00696D39"/>
    <w:rsid w:val="00697612"/>
    <w:rsid w:val="006A3ED6"/>
    <w:rsid w:val="006B4882"/>
    <w:rsid w:val="006B6B15"/>
    <w:rsid w:val="006C5FAB"/>
    <w:rsid w:val="006D744A"/>
    <w:rsid w:val="006F67D6"/>
    <w:rsid w:val="006F6CBD"/>
    <w:rsid w:val="0070161E"/>
    <w:rsid w:val="00713223"/>
    <w:rsid w:val="00716660"/>
    <w:rsid w:val="00717F55"/>
    <w:rsid w:val="0072278F"/>
    <w:rsid w:val="007312A2"/>
    <w:rsid w:val="00733F2A"/>
    <w:rsid w:val="00734009"/>
    <w:rsid w:val="00735344"/>
    <w:rsid w:val="00744BC7"/>
    <w:rsid w:val="00761A2C"/>
    <w:rsid w:val="00765564"/>
    <w:rsid w:val="00773FD9"/>
    <w:rsid w:val="007806BB"/>
    <w:rsid w:val="00780BF8"/>
    <w:rsid w:val="00780EFE"/>
    <w:rsid w:val="007864FF"/>
    <w:rsid w:val="00790CB0"/>
    <w:rsid w:val="007C2B2D"/>
    <w:rsid w:val="007D27E6"/>
    <w:rsid w:val="007D3389"/>
    <w:rsid w:val="007F5607"/>
    <w:rsid w:val="00806D4E"/>
    <w:rsid w:val="0081060C"/>
    <w:rsid w:val="00813A44"/>
    <w:rsid w:val="00821E17"/>
    <w:rsid w:val="00821E60"/>
    <w:rsid w:val="00825528"/>
    <w:rsid w:val="00832406"/>
    <w:rsid w:val="00832601"/>
    <w:rsid w:val="00832E7E"/>
    <w:rsid w:val="0084110A"/>
    <w:rsid w:val="0084754C"/>
    <w:rsid w:val="008630F7"/>
    <w:rsid w:val="008705EC"/>
    <w:rsid w:val="00871114"/>
    <w:rsid w:val="008769B9"/>
    <w:rsid w:val="00882413"/>
    <w:rsid w:val="00883E0D"/>
    <w:rsid w:val="00894960"/>
    <w:rsid w:val="00896135"/>
    <w:rsid w:val="008969B5"/>
    <w:rsid w:val="008A5C5D"/>
    <w:rsid w:val="008A7D55"/>
    <w:rsid w:val="008B037F"/>
    <w:rsid w:val="008B14BE"/>
    <w:rsid w:val="008B2895"/>
    <w:rsid w:val="008B3B9B"/>
    <w:rsid w:val="008C06F0"/>
    <w:rsid w:val="008C3B69"/>
    <w:rsid w:val="008C3D2D"/>
    <w:rsid w:val="008C6C92"/>
    <w:rsid w:val="008C7872"/>
    <w:rsid w:val="008D3163"/>
    <w:rsid w:val="008D3D2E"/>
    <w:rsid w:val="008E2E22"/>
    <w:rsid w:val="008E3F4F"/>
    <w:rsid w:val="008F2572"/>
    <w:rsid w:val="008F5312"/>
    <w:rsid w:val="008F6AC7"/>
    <w:rsid w:val="00912A9B"/>
    <w:rsid w:val="00913C21"/>
    <w:rsid w:val="00920C9A"/>
    <w:rsid w:val="00930F85"/>
    <w:rsid w:val="0093408D"/>
    <w:rsid w:val="00945A73"/>
    <w:rsid w:val="009505F9"/>
    <w:rsid w:val="0095081B"/>
    <w:rsid w:val="00951CA1"/>
    <w:rsid w:val="00964DCD"/>
    <w:rsid w:val="0096584E"/>
    <w:rsid w:val="00975D74"/>
    <w:rsid w:val="0097626C"/>
    <w:rsid w:val="00981673"/>
    <w:rsid w:val="00987E70"/>
    <w:rsid w:val="009902F4"/>
    <w:rsid w:val="0099691B"/>
    <w:rsid w:val="009A2B8E"/>
    <w:rsid w:val="009A4FE4"/>
    <w:rsid w:val="009A5A28"/>
    <w:rsid w:val="009B6AAE"/>
    <w:rsid w:val="009C0760"/>
    <w:rsid w:val="009E6158"/>
    <w:rsid w:val="009E7ABF"/>
    <w:rsid w:val="009F7DCC"/>
    <w:rsid w:val="00A00640"/>
    <w:rsid w:val="00A00E8D"/>
    <w:rsid w:val="00A00FCF"/>
    <w:rsid w:val="00A021E3"/>
    <w:rsid w:val="00A16B69"/>
    <w:rsid w:val="00A22B22"/>
    <w:rsid w:val="00A23C02"/>
    <w:rsid w:val="00A25E4B"/>
    <w:rsid w:val="00A27535"/>
    <w:rsid w:val="00A33C4C"/>
    <w:rsid w:val="00A41A78"/>
    <w:rsid w:val="00A50AB7"/>
    <w:rsid w:val="00A53E47"/>
    <w:rsid w:val="00A60668"/>
    <w:rsid w:val="00A60B2D"/>
    <w:rsid w:val="00A616DE"/>
    <w:rsid w:val="00A73837"/>
    <w:rsid w:val="00A80DCD"/>
    <w:rsid w:val="00A82C22"/>
    <w:rsid w:val="00A83E87"/>
    <w:rsid w:val="00A91929"/>
    <w:rsid w:val="00A92B90"/>
    <w:rsid w:val="00A977A9"/>
    <w:rsid w:val="00AA4074"/>
    <w:rsid w:val="00AA45C9"/>
    <w:rsid w:val="00AB2AF8"/>
    <w:rsid w:val="00AB47E0"/>
    <w:rsid w:val="00AB7F13"/>
    <w:rsid w:val="00AE23F4"/>
    <w:rsid w:val="00AF24FF"/>
    <w:rsid w:val="00AF3759"/>
    <w:rsid w:val="00AF42C3"/>
    <w:rsid w:val="00AF6500"/>
    <w:rsid w:val="00B166BD"/>
    <w:rsid w:val="00B23DDC"/>
    <w:rsid w:val="00B2499F"/>
    <w:rsid w:val="00B32032"/>
    <w:rsid w:val="00B425DC"/>
    <w:rsid w:val="00B47014"/>
    <w:rsid w:val="00B55CBA"/>
    <w:rsid w:val="00B72373"/>
    <w:rsid w:val="00B726A0"/>
    <w:rsid w:val="00B737F0"/>
    <w:rsid w:val="00BA2F40"/>
    <w:rsid w:val="00BA40E5"/>
    <w:rsid w:val="00BA493E"/>
    <w:rsid w:val="00BA57D3"/>
    <w:rsid w:val="00BA6BB6"/>
    <w:rsid w:val="00BB0AFF"/>
    <w:rsid w:val="00BB4A12"/>
    <w:rsid w:val="00BB5385"/>
    <w:rsid w:val="00BC0A81"/>
    <w:rsid w:val="00BC50CC"/>
    <w:rsid w:val="00BD6830"/>
    <w:rsid w:val="00BD6B11"/>
    <w:rsid w:val="00BE64BB"/>
    <w:rsid w:val="00BE685E"/>
    <w:rsid w:val="00BE7BE0"/>
    <w:rsid w:val="00BF2BCA"/>
    <w:rsid w:val="00C04D44"/>
    <w:rsid w:val="00C05A3D"/>
    <w:rsid w:val="00C173C2"/>
    <w:rsid w:val="00C21072"/>
    <w:rsid w:val="00C23D0C"/>
    <w:rsid w:val="00C355E2"/>
    <w:rsid w:val="00C4770B"/>
    <w:rsid w:val="00C53456"/>
    <w:rsid w:val="00C55774"/>
    <w:rsid w:val="00C71672"/>
    <w:rsid w:val="00C75497"/>
    <w:rsid w:val="00C81294"/>
    <w:rsid w:val="00C833DA"/>
    <w:rsid w:val="00C91470"/>
    <w:rsid w:val="00C92CF3"/>
    <w:rsid w:val="00C94747"/>
    <w:rsid w:val="00CB1B92"/>
    <w:rsid w:val="00CB38E2"/>
    <w:rsid w:val="00CC360A"/>
    <w:rsid w:val="00CD1AEF"/>
    <w:rsid w:val="00CD3CC5"/>
    <w:rsid w:val="00CD4CCF"/>
    <w:rsid w:val="00CD5FBF"/>
    <w:rsid w:val="00CE5166"/>
    <w:rsid w:val="00D042A0"/>
    <w:rsid w:val="00D05C0A"/>
    <w:rsid w:val="00D1203F"/>
    <w:rsid w:val="00D14A53"/>
    <w:rsid w:val="00D16ADE"/>
    <w:rsid w:val="00D17181"/>
    <w:rsid w:val="00D24CDB"/>
    <w:rsid w:val="00D265FC"/>
    <w:rsid w:val="00D26919"/>
    <w:rsid w:val="00D33732"/>
    <w:rsid w:val="00D35CA6"/>
    <w:rsid w:val="00D41053"/>
    <w:rsid w:val="00D4147B"/>
    <w:rsid w:val="00D463F7"/>
    <w:rsid w:val="00D536FC"/>
    <w:rsid w:val="00D54B00"/>
    <w:rsid w:val="00D569E8"/>
    <w:rsid w:val="00D650D3"/>
    <w:rsid w:val="00D65E04"/>
    <w:rsid w:val="00D7148C"/>
    <w:rsid w:val="00D73ADD"/>
    <w:rsid w:val="00D74619"/>
    <w:rsid w:val="00D81853"/>
    <w:rsid w:val="00D85973"/>
    <w:rsid w:val="00D91FD5"/>
    <w:rsid w:val="00D92430"/>
    <w:rsid w:val="00D940D0"/>
    <w:rsid w:val="00D974BD"/>
    <w:rsid w:val="00DA1CBE"/>
    <w:rsid w:val="00DA476F"/>
    <w:rsid w:val="00DA4F89"/>
    <w:rsid w:val="00DB3DBA"/>
    <w:rsid w:val="00DB6DD5"/>
    <w:rsid w:val="00DC07F5"/>
    <w:rsid w:val="00DC174D"/>
    <w:rsid w:val="00DC4ACE"/>
    <w:rsid w:val="00DD187F"/>
    <w:rsid w:val="00DD1A95"/>
    <w:rsid w:val="00DE357F"/>
    <w:rsid w:val="00DF2192"/>
    <w:rsid w:val="00DF4E95"/>
    <w:rsid w:val="00E17338"/>
    <w:rsid w:val="00E17A2A"/>
    <w:rsid w:val="00E17CA0"/>
    <w:rsid w:val="00E20F5B"/>
    <w:rsid w:val="00E3396C"/>
    <w:rsid w:val="00E33A7F"/>
    <w:rsid w:val="00E36C33"/>
    <w:rsid w:val="00E41919"/>
    <w:rsid w:val="00E52F1D"/>
    <w:rsid w:val="00E55792"/>
    <w:rsid w:val="00E567A1"/>
    <w:rsid w:val="00E602F6"/>
    <w:rsid w:val="00E7333B"/>
    <w:rsid w:val="00E76D37"/>
    <w:rsid w:val="00E829F0"/>
    <w:rsid w:val="00E86518"/>
    <w:rsid w:val="00E87C3D"/>
    <w:rsid w:val="00E936BB"/>
    <w:rsid w:val="00E95676"/>
    <w:rsid w:val="00EB11B8"/>
    <w:rsid w:val="00EB3EC7"/>
    <w:rsid w:val="00EC421F"/>
    <w:rsid w:val="00EC60A5"/>
    <w:rsid w:val="00ED0E37"/>
    <w:rsid w:val="00ED3EEC"/>
    <w:rsid w:val="00ED6F86"/>
    <w:rsid w:val="00EE128C"/>
    <w:rsid w:val="00EE3557"/>
    <w:rsid w:val="00EF1DA9"/>
    <w:rsid w:val="00EF2574"/>
    <w:rsid w:val="00F07071"/>
    <w:rsid w:val="00F14FEC"/>
    <w:rsid w:val="00F47481"/>
    <w:rsid w:val="00F5045A"/>
    <w:rsid w:val="00F65731"/>
    <w:rsid w:val="00F746D8"/>
    <w:rsid w:val="00F915A3"/>
    <w:rsid w:val="00F95A0C"/>
    <w:rsid w:val="00FA189D"/>
    <w:rsid w:val="00FA2C99"/>
    <w:rsid w:val="00FA2FF2"/>
    <w:rsid w:val="00FA6D2A"/>
    <w:rsid w:val="00FA70D1"/>
    <w:rsid w:val="00FB16B3"/>
    <w:rsid w:val="00FB3243"/>
    <w:rsid w:val="00FB5E5A"/>
    <w:rsid w:val="00FC2932"/>
    <w:rsid w:val="00FC2C29"/>
    <w:rsid w:val="00FC79F3"/>
    <w:rsid w:val="00FD49CA"/>
    <w:rsid w:val="00FD6274"/>
    <w:rsid w:val="00FE0A00"/>
    <w:rsid w:val="00FE5BA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69B96E"/>
  <w15:docId w15:val="{AFB35992-3A71-4C67-87A8-C5AD9EE0C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23DDC"/>
    <w:pPr>
      <w:jc w:val="both"/>
    </w:pPr>
    <w:rPr>
      <w:rFonts w:ascii="Calibri Light" w:eastAsia="Calibri" w:hAnsi="Calibri Light" w:cs="Times New Roman"/>
      <w:sz w:val="26"/>
      <w:szCs w:val="26"/>
      <w:lang w:val="en-GB" w:eastAsia="en-US"/>
    </w:rPr>
  </w:style>
  <w:style w:type="paragraph" w:styleId="Heading1">
    <w:name w:val="heading 1"/>
    <w:basedOn w:val="Normal"/>
    <w:next w:val="Normal"/>
    <w:link w:val="Heading1Char"/>
    <w:uiPriority w:val="9"/>
    <w:qFormat/>
    <w:rsid w:val="00B23DDC"/>
    <w:pPr>
      <w:spacing w:after="120"/>
      <w:outlineLvl w:val="0"/>
    </w:pPr>
    <w:rPr>
      <w:rFonts w:ascii="Calibri" w:hAnsi="Calibri"/>
      <w:b/>
      <w:color w:val="002060"/>
      <w:sz w:val="40"/>
      <w:szCs w:val="22"/>
    </w:rPr>
  </w:style>
  <w:style w:type="paragraph" w:styleId="Heading2">
    <w:name w:val="heading 2"/>
    <w:basedOn w:val="Normal"/>
    <w:next w:val="Normal"/>
    <w:link w:val="Heading2Char"/>
    <w:uiPriority w:val="9"/>
    <w:unhideWhenUsed/>
    <w:qFormat/>
    <w:rsid w:val="00B23DDC"/>
    <w:pPr>
      <w:spacing w:after="240" w:line="240" w:lineRule="auto"/>
      <w:outlineLvl w:val="1"/>
    </w:pPr>
    <w:rPr>
      <w:rFonts w:eastAsia="Times New Roman"/>
      <w:color w:val="002060"/>
      <w:spacing w:val="-10"/>
      <w:kern w:val="28"/>
      <w:sz w:val="32"/>
      <w:szCs w:val="56"/>
    </w:rPr>
  </w:style>
  <w:style w:type="paragraph" w:styleId="Heading3">
    <w:name w:val="heading 3"/>
    <w:basedOn w:val="Normal"/>
    <w:next w:val="Normal"/>
    <w:link w:val="Heading3Char"/>
    <w:uiPriority w:val="9"/>
    <w:unhideWhenUsed/>
    <w:qFormat/>
    <w:rsid w:val="00D536FC"/>
    <w:pPr>
      <w:keepNext/>
      <w:keepLines/>
      <w:widowControl w:val="0"/>
      <w:tabs>
        <w:tab w:val="left" w:pos="5895"/>
      </w:tabs>
      <w:spacing w:before="240" w:after="0"/>
      <w:outlineLvl w:val="2"/>
    </w:pPr>
    <w:rPr>
      <w:rFonts w:ascii="Calibri" w:eastAsia="Times New Roman" w:hAnsi="Calibri"/>
      <w:b/>
      <w:color w:val="002060"/>
      <w:sz w:val="24"/>
    </w:rPr>
  </w:style>
  <w:style w:type="paragraph" w:styleId="Heading4">
    <w:name w:val="heading 4"/>
    <w:basedOn w:val="Heading3"/>
    <w:next w:val="Normal"/>
    <w:link w:val="Heading4Char"/>
    <w:uiPriority w:val="9"/>
    <w:unhideWhenUsed/>
    <w:qFormat/>
    <w:rsid w:val="008C06F0"/>
    <w:pPr>
      <w:outlineLvl w:val="3"/>
    </w:pPr>
    <w:rPr>
      <w:b w:val="0"/>
      <w:sz w:val="20"/>
      <w:szCs w:val="20"/>
    </w:rPr>
  </w:style>
  <w:style w:type="paragraph" w:styleId="Heading5">
    <w:name w:val="heading 5"/>
    <w:basedOn w:val="Normal"/>
    <w:next w:val="Normal"/>
    <w:link w:val="Heading5Char"/>
    <w:uiPriority w:val="9"/>
    <w:semiHidden/>
    <w:unhideWhenUsed/>
    <w:qFormat/>
    <w:rsid w:val="008C06F0"/>
    <w:pPr>
      <w:keepNext/>
      <w:keepLines/>
      <w:spacing w:before="200" w:after="0"/>
      <w:outlineLvl w:val="4"/>
    </w:pPr>
    <w:rPr>
      <w:rFonts w:asciiTheme="majorHAnsi" w:eastAsiaTheme="majorEastAsia" w:hAnsiTheme="majorHAnsi" w:cstheme="majorBidi"/>
      <w:color w:val="04314C"/>
    </w:rPr>
  </w:style>
  <w:style w:type="paragraph" w:styleId="Heading6">
    <w:name w:val="heading 6"/>
    <w:basedOn w:val="Normal"/>
    <w:next w:val="Normal"/>
    <w:link w:val="Heading6Char"/>
    <w:uiPriority w:val="9"/>
    <w:semiHidden/>
    <w:unhideWhenUsed/>
    <w:qFormat/>
    <w:rsid w:val="00EE3557"/>
    <w:pPr>
      <w:keepNext/>
      <w:keepLines/>
      <w:spacing w:before="200" w:after="0"/>
      <w:outlineLvl w:val="5"/>
    </w:pPr>
    <w:rPr>
      <w:rFonts w:asciiTheme="majorHAnsi" w:eastAsiaTheme="majorEastAsia" w:hAnsiTheme="majorHAnsi" w:cstheme="majorBidi"/>
      <w:i/>
      <w:iCs/>
      <w:color w:val="1B2C37" w:themeColor="accent1" w:themeShade="7F"/>
    </w:rPr>
  </w:style>
  <w:style w:type="paragraph" w:styleId="Heading7">
    <w:name w:val="heading 7"/>
    <w:basedOn w:val="Normal"/>
    <w:next w:val="Normal"/>
    <w:link w:val="Heading7Char"/>
    <w:uiPriority w:val="9"/>
    <w:semiHidden/>
    <w:unhideWhenUsed/>
    <w:qFormat/>
    <w:rsid w:val="00EE355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E3557"/>
    <w:pPr>
      <w:keepNext/>
      <w:keepLines/>
      <w:spacing w:before="200" w:after="0"/>
      <w:outlineLvl w:val="7"/>
    </w:pPr>
    <w:rPr>
      <w:rFonts w:asciiTheme="majorHAnsi" w:eastAsiaTheme="majorEastAsia" w:hAnsiTheme="majorHAnsi" w:cstheme="majorBidi"/>
      <w:color w:val="365A70" w:themeColor="accent1"/>
      <w:szCs w:val="20"/>
    </w:rPr>
  </w:style>
  <w:style w:type="paragraph" w:styleId="Heading9">
    <w:name w:val="heading 9"/>
    <w:basedOn w:val="Normal"/>
    <w:next w:val="Normal"/>
    <w:link w:val="Heading9Char"/>
    <w:uiPriority w:val="9"/>
    <w:semiHidden/>
    <w:unhideWhenUsed/>
    <w:qFormat/>
    <w:rsid w:val="00EE3557"/>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C06F0"/>
    <w:rPr>
      <w:rFonts w:ascii="Verdana" w:hAnsi="Verdana"/>
      <w:b/>
      <w:color w:val="04314C"/>
      <w:sz w:val="44"/>
      <w:szCs w:val="44"/>
    </w:rPr>
  </w:style>
  <w:style w:type="character" w:customStyle="1" w:styleId="TitleChar">
    <w:name w:val="Title Char"/>
    <w:basedOn w:val="DefaultParagraphFont"/>
    <w:link w:val="Title"/>
    <w:uiPriority w:val="10"/>
    <w:rsid w:val="008C06F0"/>
    <w:rPr>
      <w:rFonts w:ascii="Verdana" w:hAnsi="Verdana"/>
      <w:b/>
      <w:color w:val="04314C"/>
      <w:sz w:val="44"/>
      <w:szCs w:val="44"/>
    </w:rPr>
  </w:style>
  <w:style w:type="paragraph" w:styleId="BalloonText">
    <w:name w:val="Balloon Text"/>
    <w:basedOn w:val="Normal"/>
    <w:link w:val="BalloonTextChar"/>
    <w:uiPriority w:val="99"/>
    <w:semiHidden/>
    <w:unhideWhenUsed/>
    <w:rsid w:val="00DF21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2192"/>
    <w:rPr>
      <w:rFonts w:ascii="Tahoma" w:hAnsi="Tahoma" w:cs="Tahoma"/>
      <w:sz w:val="16"/>
      <w:szCs w:val="16"/>
    </w:rPr>
  </w:style>
  <w:style w:type="character" w:customStyle="1" w:styleId="Heading2Char">
    <w:name w:val="Heading 2 Char"/>
    <w:basedOn w:val="DefaultParagraphFont"/>
    <w:link w:val="Heading2"/>
    <w:uiPriority w:val="9"/>
    <w:rsid w:val="00B23DDC"/>
    <w:rPr>
      <w:rFonts w:ascii="Calibri Light" w:eastAsia="Times New Roman" w:hAnsi="Calibri Light" w:cs="Times New Roman"/>
      <w:color w:val="002060"/>
      <w:spacing w:val="-10"/>
      <w:kern w:val="28"/>
      <w:sz w:val="32"/>
      <w:szCs w:val="56"/>
      <w:lang w:val="en-GB" w:eastAsia="en-US"/>
    </w:rPr>
  </w:style>
  <w:style w:type="table" w:styleId="TableGrid">
    <w:name w:val="Table Grid"/>
    <w:basedOn w:val="TableNormal"/>
    <w:uiPriority w:val="59"/>
    <w:rsid w:val="00D120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A57D3"/>
    <w:rPr>
      <w:color w:val="994345" w:themeColor="hyperlink"/>
      <w:u w:val="single"/>
    </w:rPr>
  </w:style>
  <w:style w:type="character" w:customStyle="1" w:styleId="Heading3Char">
    <w:name w:val="Heading 3 Char"/>
    <w:basedOn w:val="DefaultParagraphFont"/>
    <w:link w:val="Heading3"/>
    <w:uiPriority w:val="9"/>
    <w:rsid w:val="00D536FC"/>
    <w:rPr>
      <w:rFonts w:ascii="Calibri" w:eastAsia="Times New Roman" w:hAnsi="Calibri" w:cs="Times New Roman"/>
      <w:b/>
      <w:color w:val="002060"/>
      <w:sz w:val="24"/>
      <w:szCs w:val="26"/>
      <w:lang w:val="en-GB" w:eastAsia="en-US"/>
    </w:rPr>
  </w:style>
  <w:style w:type="paragraph" w:styleId="Header">
    <w:name w:val="header"/>
    <w:basedOn w:val="Normal"/>
    <w:link w:val="HeaderChar"/>
    <w:uiPriority w:val="99"/>
    <w:unhideWhenUsed/>
    <w:rsid w:val="00584F10"/>
    <w:pPr>
      <w:tabs>
        <w:tab w:val="center" w:pos="4536"/>
        <w:tab w:val="right" w:pos="9072"/>
      </w:tabs>
      <w:spacing w:after="0" w:line="240" w:lineRule="auto"/>
    </w:pPr>
  </w:style>
  <w:style w:type="character" w:customStyle="1" w:styleId="HeaderChar">
    <w:name w:val="Header Char"/>
    <w:basedOn w:val="DefaultParagraphFont"/>
    <w:link w:val="Header"/>
    <w:uiPriority w:val="99"/>
    <w:rsid w:val="00584F10"/>
  </w:style>
  <w:style w:type="paragraph" w:styleId="Footer">
    <w:name w:val="footer"/>
    <w:basedOn w:val="Normal"/>
    <w:link w:val="FooterChar"/>
    <w:uiPriority w:val="99"/>
    <w:unhideWhenUsed/>
    <w:rsid w:val="00584F10"/>
    <w:pPr>
      <w:tabs>
        <w:tab w:val="center" w:pos="4536"/>
        <w:tab w:val="right" w:pos="9072"/>
      </w:tabs>
      <w:spacing w:after="0" w:line="240" w:lineRule="auto"/>
    </w:pPr>
  </w:style>
  <w:style w:type="character" w:customStyle="1" w:styleId="FooterChar">
    <w:name w:val="Footer Char"/>
    <w:basedOn w:val="DefaultParagraphFont"/>
    <w:link w:val="Footer"/>
    <w:uiPriority w:val="99"/>
    <w:rsid w:val="00584F10"/>
  </w:style>
  <w:style w:type="paragraph" w:styleId="Caption">
    <w:name w:val="caption"/>
    <w:basedOn w:val="Normal"/>
    <w:next w:val="Normal"/>
    <w:uiPriority w:val="35"/>
    <w:unhideWhenUsed/>
    <w:qFormat/>
    <w:rsid w:val="008C06F0"/>
    <w:pPr>
      <w:spacing w:line="240" w:lineRule="auto"/>
    </w:pPr>
    <w:rPr>
      <w:b/>
      <w:bCs/>
      <w:color w:val="04314C"/>
      <w:sz w:val="18"/>
      <w:szCs w:val="18"/>
    </w:rPr>
  </w:style>
  <w:style w:type="paragraph" w:styleId="ListParagraph">
    <w:name w:val="List Paragraph"/>
    <w:basedOn w:val="Normal"/>
    <w:uiPriority w:val="34"/>
    <w:qFormat/>
    <w:rsid w:val="00EE3557"/>
    <w:pPr>
      <w:ind w:left="720"/>
      <w:contextualSpacing/>
    </w:pPr>
  </w:style>
  <w:style w:type="character" w:customStyle="1" w:styleId="Heading1Char">
    <w:name w:val="Heading 1 Char"/>
    <w:basedOn w:val="DefaultParagraphFont"/>
    <w:link w:val="Heading1"/>
    <w:uiPriority w:val="9"/>
    <w:rsid w:val="00B23DDC"/>
    <w:rPr>
      <w:rFonts w:ascii="Calibri" w:eastAsia="Calibri" w:hAnsi="Calibri" w:cs="Times New Roman"/>
      <w:b/>
      <w:color w:val="002060"/>
      <w:sz w:val="40"/>
      <w:lang w:val="en-GB" w:eastAsia="en-US"/>
    </w:rPr>
  </w:style>
  <w:style w:type="character" w:customStyle="1" w:styleId="Heading4Char">
    <w:name w:val="Heading 4 Char"/>
    <w:basedOn w:val="DefaultParagraphFont"/>
    <w:link w:val="Heading4"/>
    <w:uiPriority w:val="9"/>
    <w:rsid w:val="008C06F0"/>
    <w:rPr>
      <w:rFonts w:ascii="Verdana" w:eastAsiaTheme="majorEastAsia" w:hAnsi="Verdana" w:cstheme="majorBidi"/>
      <w:bCs/>
      <w:i/>
      <w:color w:val="04314C"/>
      <w:sz w:val="20"/>
      <w:szCs w:val="20"/>
    </w:rPr>
  </w:style>
  <w:style w:type="character" w:customStyle="1" w:styleId="Heading5Char">
    <w:name w:val="Heading 5 Char"/>
    <w:basedOn w:val="DefaultParagraphFont"/>
    <w:link w:val="Heading5"/>
    <w:uiPriority w:val="9"/>
    <w:semiHidden/>
    <w:rsid w:val="008C06F0"/>
    <w:rPr>
      <w:rFonts w:asciiTheme="majorHAnsi" w:eastAsiaTheme="majorEastAsia" w:hAnsiTheme="majorHAnsi" w:cstheme="majorBidi"/>
      <w:color w:val="04314C"/>
    </w:rPr>
  </w:style>
  <w:style w:type="character" w:customStyle="1" w:styleId="Heading6Char">
    <w:name w:val="Heading 6 Char"/>
    <w:basedOn w:val="DefaultParagraphFont"/>
    <w:link w:val="Heading6"/>
    <w:uiPriority w:val="9"/>
    <w:semiHidden/>
    <w:rsid w:val="00EE3557"/>
    <w:rPr>
      <w:rFonts w:asciiTheme="majorHAnsi" w:eastAsiaTheme="majorEastAsia" w:hAnsiTheme="majorHAnsi" w:cstheme="majorBidi"/>
      <w:i/>
      <w:iCs/>
      <w:color w:val="1B2C37" w:themeColor="accent1" w:themeShade="7F"/>
    </w:rPr>
  </w:style>
  <w:style w:type="character" w:customStyle="1" w:styleId="Heading7Char">
    <w:name w:val="Heading 7 Char"/>
    <w:basedOn w:val="DefaultParagraphFont"/>
    <w:link w:val="Heading7"/>
    <w:uiPriority w:val="9"/>
    <w:semiHidden/>
    <w:rsid w:val="00EE355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E3557"/>
    <w:rPr>
      <w:rFonts w:asciiTheme="majorHAnsi" w:eastAsiaTheme="majorEastAsia" w:hAnsiTheme="majorHAnsi" w:cstheme="majorBidi"/>
      <w:color w:val="365A70" w:themeColor="accent1"/>
      <w:sz w:val="20"/>
      <w:szCs w:val="20"/>
    </w:rPr>
  </w:style>
  <w:style w:type="character" w:customStyle="1" w:styleId="Heading9Char">
    <w:name w:val="Heading 9 Char"/>
    <w:basedOn w:val="DefaultParagraphFont"/>
    <w:link w:val="Heading9"/>
    <w:uiPriority w:val="9"/>
    <w:semiHidden/>
    <w:rsid w:val="00EE3557"/>
    <w:rPr>
      <w:rFonts w:asciiTheme="majorHAnsi" w:eastAsiaTheme="majorEastAsia" w:hAnsiTheme="majorHAnsi" w:cstheme="majorBidi"/>
      <w:i/>
      <w:iCs/>
      <w:color w:val="404040" w:themeColor="text1" w:themeTint="BF"/>
      <w:sz w:val="20"/>
      <w:szCs w:val="20"/>
    </w:rPr>
  </w:style>
  <w:style w:type="paragraph" w:styleId="Subtitle">
    <w:name w:val="Subtitle"/>
    <w:basedOn w:val="Normal"/>
    <w:next w:val="Normal"/>
    <w:link w:val="SubtitleChar"/>
    <w:uiPriority w:val="11"/>
    <w:qFormat/>
    <w:rsid w:val="008C06F0"/>
    <w:pPr>
      <w:numPr>
        <w:ilvl w:val="1"/>
      </w:numPr>
    </w:pPr>
    <w:rPr>
      <w:rFonts w:ascii="Verdana" w:eastAsiaTheme="majorEastAsia" w:hAnsi="Verdana" w:cstheme="majorBidi"/>
      <w:i/>
      <w:iCs/>
      <w:color w:val="04314C"/>
      <w:spacing w:val="15"/>
      <w:sz w:val="24"/>
      <w:szCs w:val="24"/>
    </w:rPr>
  </w:style>
  <w:style w:type="character" w:customStyle="1" w:styleId="SubtitleChar">
    <w:name w:val="Subtitle Char"/>
    <w:basedOn w:val="DefaultParagraphFont"/>
    <w:link w:val="Subtitle"/>
    <w:uiPriority w:val="11"/>
    <w:rsid w:val="008C06F0"/>
    <w:rPr>
      <w:rFonts w:ascii="Verdana" w:eastAsiaTheme="majorEastAsia" w:hAnsi="Verdana" w:cstheme="majorBidi"/>
      <w:i/>
      <w:iCs/>
      <w:color w:val="04314C"/>
      <w:spacing w:val="15"/>
      <w:sz w:val="24"/>
      <w:szCs w:val="24"/>
    </w:rPr>
  </w:style>
  <w:style w:type="character" w:styleId="Strong">
    <w:name w:val="Strong"/>
    <w:basedOn w:val="DefaultParagraphFont"/>
    <w:uiPriority w:val="22"/>
    <w:qFormat/>
    <w:rsid w:val="00EE3557"/>
    <w:rPr>
      <w:b/>
      <w:bCs/>
    </w:rPr>
  </w:style>
  <w:style w:type="character" w:styleId="Emphasis">
    <w:name w:val="Emphasis"/>
    <w:basedOn w:val="DefaultParagraphFont"/>
    <w:uiPriority w:val="20"/>
    <w:qFormat/>
    <w:rsid w:val="00EE3557"/>
    <w:rPr>
      <w:i/>
      <w:iCs/>
    </w:rPr>
  </w:style>
  <w:style w:type="paragraph" w:styleId="NoSpacing">
    <w:name w:val="No Spacing"/>
    <w:uiPriority w:val="1"/>
    <w:qFormat/>
    <w:rsid w:val="00EE3557"/>
    <w:pPr>
      <w:spacing w:after="0" w:line="240" w:lineRule="auto"/>
    </w:pPr>
  </w:style>
  <w:style w:type="paragraph" w:styleId="Quote">
    <w:name w:val="Quote"/>
    <w:basedOn w:val="Normal"/>
    <w:next w:val="Normal"/>
    <w:link w:val="QuoteChar"/>
    <w:uiPriority w:val="29"/>
    <w:qFormat/>
    <w:rsid w:val="00EE3557"/>
    <w:rPr>
      <w:i/>
      <w:iCs/>
      <w:color w:val="000000" w:themeColor="text1"/>
    </w:rPr>
  </w:style>
  <w:style w:type="character" w:customStyle="1" w:styleId="QuoteChar">
    <w:name w:val="Quote Char"/>
    <w:basedOn w:val="DefaultParagraphFont"/>
    <w:link w:val="Quote"/>
    <w:uiPriority w:val="29"/>
    <w:rsid w:val="00EE3557"/>
    <w:rPr>
      <w:i/>
      <w:iCs/>
      <w:color w:val="000000" w:themeColor="text1"/>
    </w:rPr>
  </w:style>
  <w:style w:type="paragraph" w:styleId="IntenseQuote">
    <w:name w:val="Intense Quote"/>
    <w:basedOn w:val="Normal"/>
    <w:next w:val="Normal"/>
    <w:link w:val="IntenseQuoteChar"/>
    <w:uiPriority w:val="30"/>
    <w:rsid w:val="00EE3557"/>
    <w:pPr>
      <w:pBdr>
        <w:bottom w:val="single" w:sz="4" w:space="4" w:color="365A70" w:themeColor="accent1"/>
      </w:pBdr>
      <w:spacing w:before="200" w:after="280"/>
      <w:ind w:left="936" w:right="936"/>
    </w:pPr>
    <w:rPr>
      <w:b/>
      <w:bCs/>
      <w:i/>
      <w:iCs/>
      <w:color w:val="365A70" w:themeColor="accent1"/>
    </w:rPr>
  </w:style>
  <w:style w:type="character" w:customStyle="1" w:styleId="IntenseQuoteChar">
    <w:name w:val="Intense Quote Char"/>
    <w:basedOn w:val="DefaultParagraphFont"/>
    <w:link w:val="IntenseQuote"/>
    <w:uiPriority w:val="30"/>
    <w:rsid w:val="00EE3557"/>
    <w:rPr>
      <w:b/>
      <w:bCs/>
      <w:i/>
      <w:iCs/>
      <w:color w:val="365A70" w:themeColor="accent1"/>
    </w:rPr>
  </w:style>
  <w:style w:type="character" w:styleId="SubtleEmphasis">
    <w:name w:val="Subtle Emphasis"/>
    <w:uiPriority w:val="19"/>
    <w:rsid w:val="001767A4"/>
    <w:rPr>
      <w:rFonts w:ascii="Verdana" w:hAnsi="Verdana"/>
    </w:rPr>
  </w:style>
  <w:style w:type="character" w:styleId="IntenseEmphasis">
    <w:name w:val="Intense Emphasis"/>
    <w:basedOn w:val="DefaultParagraphFont"/>
    <w:uiPriority w:val="21"/>
    <w:qFormat/>
    <w:rsid w:val="008C06F0"/>
    <w:rPr>
      <w:b/>
      <w:bCs/>
      <w:i/>
      <w:iCs/>
      <w:color w:val="04314C"/>
    </w:rPr>
  </w:style>
  <w:style w:type="character" w:styleId="SubtleReference">
    <w:name w:val="Subtle Reference"/>
    <w:basedOn w:val="DefaultParagraphFont"/>
    <w:uiPriority w:val="31"/>
    <w:rsid w:val="00EE3557"/>
    <w:rPr>
      <w:smallCaps/>
      <w:color w:val="FFC133" w:themeColor="accent2"/>
      <w:u w:val="single"/>
    </w:rPr>
  </w:style>
  <w:style w:type="character" w:styleId="IntenseReference">
    <w:name w:val="Intense Reference"/>
    <w:basedOn w:val="DefaultParagraphFont"/>
    <w:uiPriority w:val="32"/>
    <w:rsid w:val="00EE3557"/>
    <w:rPr>
      <w:b/>
      <w:bCs/>
      <w:smallCaps/>
      <w:color w:val="FFC133" w:themeColor="accent2"/>
      <w:spacing w:val="5"/>
      <w:u w:val="single"/>
    </w:rPr>
  </w:style>
  <w:style w:type="character" w:styleId="BookTitle">
    <w:name w:val="Book Title"/>
    <w:basedOn w:val="DefaultParagraphFont"/>
    <w:uiPriority w:val="33"/>
    <w:qFormat/>
    <w:rsid w:val="00EE3557"/>
    <w:rPr>
      <w:b/>
      <w:bCs/>
      <w:smallCaps/>
      <w:spacing w:val="5"/>
    </w:rPr>
  </w:style>
  <w:style w:type="paragraph" w:styleId="TOCHeading">
    <w:name w:val="TOC Heading"/>
    <w:basedOn w:val="Heading1"/>
    <w:next w:val="Normal"/>
    <w:uiPriority w:val="39"/>
    <w:semiHidden/>
    <w:unhideWhenUsed/>
    <w:qFormat/>
    <w:rsid w:val="00EE3557"/>
    <w:pPr>
      <w:outlineLvl w:val="9"/>
    </w:pPr>
  </w:style>
  <w:style w:type="paragraph" w:styleId="FootnoteText">
    <w:name w:val="footnote text"/>
    <w:basedOn w:val="Normal"/>
    <w:link w:val="FootnoteTextChar"/>
    <w:uiPriority w:val="99"/>
    <w:unhideWhenUsed/>
    <w:rsid w:val="00E567A1"/>
    <w:pPr>
      <w:spacing w:after="0" w:line="240" w:lineRule="auto"/>
    </w:pPr>
    <w:rPr>
      <w:szCs w:val="20"/>
    </w:rPr>
  </w:style>
  <w:style w:type="character" w:customStyle="1" w:styleId="FootnoteTextChar">
    <w:name w:val="Footnote Text Char"/>
    <w:basedOn w:val="DefaultParagraphFont"/>
    <w:link w:val="FootnoteText"/>
    <w:uiPriority w:val="99"/>
    <w:rsid w:val="00E567A1"/>
    <w:rPr>
      <w:sz w:val="20"/>
      <w:szCs w:val="20"/>
    </w:rPr>
  </w:style>
  <w:style w:type="character" w:styleId="FootnoteReference">
    <w:name w:val="footnote reference"/>
    <w:basedOn w:val="DefaultParagraphFont"/>
    <w:uiPriority w:val="99"/>
    <w:semiHidden/>
    <w:unhideWhenUsed/>
    <w:rsid w:val="00E567A1"/>
    <w:rPr>
      <w:vertAlign w:val="superscript"/>
    </w:rPr>
  </w:style>
  <w:style w:type="table" w:styleId="LightList-Accent1">
    <w:name w:val="Light List Accent 1"/>
    <w:basedOn w:val="TableNormal"/>
    <w:uiPriority w:val="61"/>
    <w:rsid w:val="0096584E"/>
    <w:pPr>
      <w:spacing w:after="0" w:line="240" w:lineRule="auto"/>
    </w:pPr>
    <w:tblPr>
      <w:tblStyleRowBandSize w:val="1"/>
      <w:tblStyleColBandSize w:val="1"/>
      <w:tblBorders>
        <w:top w:val="single" w:sz="8" w:space="0" w:color="365A70" w:themeColor="accent1"/>
        <w:left w:val="single" w:sz="8" w:space="0" w:color="365A70" w:themeColor="accent1"/>
        <w:bottom w:val="single" w:sz="8" w:space="0" w:color="365A70" w:themeColor="accent1"/>
        <w:right w:val="single" w:sz="8" w:space="0" w:color="365A70" w:themeColor="accent1"/>
      </w:tblBorders>
    </w:tblPr>
    <w:tblStylePr w:type="firstRow">
      <w:pPr>
        <w:spacing w:before="0" w:after="0" w:line="240" w:lineRule="auto"/>
      </w:pPr>
      <w:rPr>
        <w:b/>
        <w:bCs/>
        <w:color w:val="FFFFFF" w:themeColor="background1"/>
      </w:rPr>
      <w:tblPr/>
      <w:tcPr>
        <w:shd w:val="clear" w:color="auto" w:fill="365A70" w:themeFill="accent1"/>
      </w:tcPr>
    </w:tblStylePr>
    <w:tblStylePr w:type="lastRow">
      <w:pPr>
        <w:spacing w:before="0" w:after="0" w:line="240" w:lineRule="auto"/>
      </w:pPr>
      <w:rPr>
        <w:b/>
        <w:bCs/>
      </w:rPr>
      <w:tblPr/>
      <w:tcPr>
        <w:tcBorders>
          <w:top w:val="double" w:sz="6" w:space="0" w:color="365A70" w:themeColor="accent1"/>
          <w:left w:val="single" w:sz="8" w:space="0" w:color="365A70" w:themeColor="accent1"/>
          <w:bottom w:val="single" w:sz="8" w:space="0" w:color="365A70" w:themeColor="accent1"/>
          <w:right w:val="single" w:sz="8" w:space="0" w:color="365A70" w:themeColor="accent1"/>
        </w:tcBorders>
      </w:tcPr>
    </w:tblStylePr>
    <w:tblStylePr w:type="firstCol">
      <w:rPr>
        <w:b/>
        <w:bCs/>
      </w:rPr>
    </w:tblStylePr>
    <w:tblStylePr w:type="lastCol">
      <w:rPr>
        <w:b/>
        <w:bCs/>
      </w:rPr>
    </w:tblStylePr>
    <w:tblStylePr w:type="band1Vert">
      <w:tblPr/>
      <w:tcPr>
        <w:tcBorders>
          <w:top w:val="single" w:sz="8" w:space="0" w:color="365A70" w:themeColor="accent1"/>
          <w:left w:val="single" w:sz="8" w:space="0" w:color="365A70" w:themeColor="accent1"/>
          <w:bottom w:val="single" w:sz="8" w:space="0" w:color="365A70" w:themeColor="accent1"/>
          <w:right w:val="single" w:sz="8" w:space="0" w:color="365A70" w:themeColor="accent1"/>
        </w:tcBorders>
      </w:tcPr>
    </w:tblStylePr>
    <w:tblStylePr w:type="band1Horz">
      <w:tblPr/>
      <w:tcPr>
        <w:tcBorders>
          <w:top w:val="single" w:sz="8" w:space="0" w:color="365A70" w:themeColor="accent1"/>
          <w:left w:val="single" w:sz="8" w:space="0" w:color="365A70" w:themeColor="accent1"/>
          <w:bottom w:val="single" w:sz="8" w:space="0" w:color="365A70" w:themeColor="accent1"/>
          <w:right w:val="single" w:sz="8" w:space="0" w:color="365A70" w:themeColor="accent1"/>
        </w:tcBorders>
      </w:tcPr>
    </w:tblStylePr>
  </w:style>
  <w:style w:type="table" w:styleId="LightList-Accent3">
    <w:name w:val="Light List Accent 3"/>
    <w:basedOn w:val="TableNormal"/>
    <w:uiPriority w:val="61"/>
    <w:rsid w:val="0096584E"/>
    <w:pPr>
      <w:spacing w:after="0" w:line="240" w:lineRule="auto"/>
    </w:pPr>
    <w:tblPr>
      <w:tblStyleRowBandSize w:val="1"/>
      <w:tblStyleColBandSize w:val="1"/>
      <w:tblBorders>
        <w:top w:val="single" w:sz="8" w:space="0" w:color="994345" w:themeColor="accent3"/>
        <w:left w:val="single" w:sz="8" w:space="0" w:color="994345" w:themeColor="accent3"/>
        <w:bottom w:val="single" w:sz="8" w:space="0" w:color="994345" w:themeColor="accent3"/>
        <w:right w:val="single" w:sz="8" w:space="0" w:color="994345" w:themeColor="accent3"/>
      </w:tblBorders>
    </w:tblPr>
    <w:tblStylePr w:type="firstRow">
      <w:pPr>
        <w:spacing w:before="0" w:after="0" w:line="240" w:lineRule="auto"/>
      </w:pPr>
      <w:rPr>
        <w:b/>
        <w:bCs/>
        <w:color w:val="FFFFFF" w:themeColor="background1"/>
      </w:rPr>
      <w:tblPr/>
      <w:tcPr>
        <w:shd w:val="clear" w:color="auto" w:fill="994345" w:themeFill="accent3"/>
      </w:tcPr>
    </w:tblStylePr>
    <w:tblStylePr w:type="lastRow">
      <w:pPr>
        <w:spacing w:before="0" w:after="0" w:line="240" w:lineRule="auto"/>
      </w:pPr>
      <w:rPr>
        <w:b/>
        <w:bCs/>
      </w:rPr>
      <w:tblPr/>
      <w:tcPr>
        <w:tcBorders>
          <w:top w:val="double" w:sz="6" w:space="0" w:color="994345" w:themeColor="accent3"/>
          <w:left w:val="single" w:sz="8" w:space="0" w:color="994345" w:themeColor="accent3"/>
          <w:bottom w:val="single" w:sz="8" w:space="0" w:color="994345" w:themeColor="accent3"/>
          <w:right w:val="single" w:sz="8" w:space="0" w:color="994345" w:themeColor="accent3"/>
        </w:tcBorders>
      </w:tcPr>
    </w:tblStylePr>
    <w:tblStylePr w:type="firstCol">
      <w:rPr>
        <w:b/>
        <w:bCs/>
      </w:rPr>
    </w:tblStylePr>
    <w:tblStylePr w:type="lastCol">
      <w:rPr>
        <w:b/>
        <w:bCs/>
      </w:rPr>
    </w:tblStylePr>
    <w:tblStylePr w:type="band1Vert">
      <w:tblPr/>
      <w:tcPr>
        <w:tcBorders>
          <w:top w:val="single" w:sz="8" w:space="0" w:color="994345" w:themeColor="accent3"/>
          <w:left w:val="single" w:sz="8" w:space="0" w:color="994345" w:themeColor="accent3"/>
          <w:bottom w:val="single" w:sz="8" w:space="0" w:color="994345" w:themeColor="accent3"/>
          <w:right w:val="single" w:sz="8" w:space="0" w:color="994345" w:themeColor="accent3"/>
        </w:tcBorders>
      </w:tcPr>
    </w:tblStylePr>
    <w:tblStylePr w:type="band1Horz">
      <w:tblPr/>
      <w:tcPr>
        <w:tcBorders>
          <w:top w:val="single" w:sz="8" w:space="0" w:color="994345" w:themeColor="accent3"/>
          <w:left w:val="single" w:sz="8" w:space="0" w:color="994345" w:themeColor="accent3"/>
          <w:bottom w:val="single" w:sz="8" w:space="0" w:color="994345" w:themeColor="accent3"/>
          <w:right w:val="single" w:sz="8" w:space="0" w:color="994345" w:themeColor="accent3"/>
        </w:tcBorders>
      </w:tcPr>
    </w:tblStylePr>
  </w:style>
  <w:style w:type="table" w:styleId="LightGrid-Accent3">
    <w:name w:val="Light Grid Accent 3"/>
    <w:basedOn w:val="TableNormal"/>
    <w:uiPriority w:val="62"/>
    <w:rsid w:val="005F57A6"/>
    <w:pPr>
      <w:spacing w:after="0" w:line="240" w:lineRule="auto"/>
    </w:pPr>
    <w:tblPr>
      <w:tblStyleRowBandSize w:val="1"/>
      <w:tblStyleColBandSize w:val="1"/>
      <w:tblBorders>
        <w:top w:val="single" w:sz="8" w:space="0" w:color="994345" w:themeColor="accent3"/>
        <w:left w:val="single" w:sz="8" w:space="0" w:color="994345" w:themeColor="accent3"/>
        <w:bottom w:val="single" w:sz="8" w:space="0" w:color="994345" w:themeColor="accent3"/>
        <w:right w:val="single" w:sz="8" w:space="0" w:color="994345" w:themeColor="accent3"/>
        <w:insideH w:val="single" w:sz="8" w:space="0" w:color="994345" w:themeColor="accent3"/>
        <w:insideV w:val="single" w:sz="8" w:space="0" w:color="99434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94345" w:themeColor="accent3"/>
          <w:left w:val="single" w:sz="8" w:space="0" w:color="994345" w:themeColor="accent3"/>
          <w:bottom w:val="single" w:sz="18" w:space="0" w:color="994345" w:themeColor="accent3"/>
          <w:right w:val="single" w:sz="8" w:space="0" w:color="994345" w:themeColor="accent3"/>
          <w:insideH w:val="nil"/>
          <w:insideV w:val="single" w:sz="8" w:space="0" w:color="99434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94345" w:themeColor="accent3"/>
          <w:left w:val="single" w:sz="8" w:space="0" w:color="994345" w:themeColor="accent3"/>
          <w:bottom w:val="single" w:sz="8" w:space="0" w:color="994345" w:themeColor="accent3"/>
          <w:right w:val="single" w:sz="8" w:space="0" w:color="994345" w:themeColor="accent3"/>
          <w:insideH w:val="nil"/>
          <w:insideV w:val="single" w:sz="8" w:space="0" w:color="99434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94345" w:themeColor="accent3"/>
          <w:left w:val="single" w:sz="8" w:space="0" w:color="994345" w:themeColor="accent3"/>
          <w:bottom w:val="single" w:sz="8" w:space="0" w:color="994345" w:themeColor="accent3"/>
          <w:right w:val="single" w:sz="8" w:space="0" w:color="994345" w:themeColor="accent3"/>
        </w:tcBorders>
      </w:tcPr>
    </w:tblStylePr>
    <w:tblStylePr w:type="band1Vert">
      <w:tblPr/>
      <w:tcPr>
        <w:tcBorders>
          <w:top w:val="single" w:sz="8" w:space="0" w:color="994345" w:themeColor="accent3"/>
          <w:left w:val="single" w:sz="8" w:space="0" w:color="994345" w:themeColor="accent3"/>
          <w:bottom w:val="single" w:sz="8" w:space="0" w:color="994345" w:themeColor="accent3"/>
          <w:right w:val="single" w:sz="8" w:space="0" w:color="994345" w:themeColor="accent3"/>
        </w:tcBorders>
        <w:shd w:val="clear" w:color="auto" w:fill="E9CDCD" w:themeFill="accent3" w:themeFillTint="3F"/>
      </w:tcPr>
    </w:tblStylePr>
    <w:tblStylePr w:type="band1Horz">
      <w:tblPr/>
      <w:tcPr>
        <w:tcBorders>
          <w:top w:val="single" w:sz="8" w:space="0" w:color="994345" w:themeColor="accent3"/>
          <w:left w:val="single" w:sz="8" w:space="0" w:color="994345" w:themeColor="accent3"/>
          <w:bottom w:val="single" w:sz="8" w:space="0" w:color="994345" w:themeColor="accent3"/>
          <w:right w:val="single" w:sz="8" w:space="0" w:color="994345" w:themeColor="accent3"/>
          <w:insideV w:val="single" w:sz="8" w:space="0" w:color="994345" w:themeColor="accent3"/>
        </w:tcBorders>
        <w:shd w:val="clear" w:color="auto" w:fill="E9CDCD" w:themeFill="accent3" w:themeFillTint="3F"/>
      </w:tcPr>
    </w:tblStylePr>
    <w:tblStylePr w:type="band2Horz">
      <w:tblPr/>
      <w:tcPr>
        <w:tcBorders>
          <w:top w:val="single" w:sz="8" w:space="0" w:color="994345" w:themeColor="accent3"/>
          <w:left w:val="single" w:sz="8" w:space="0" w:color="994345" w:themeColor="accent3"/>
          <w:bottom w:val="single" w:sz="8" w:space="0" w:color="994345" w:themeColor="accent3"/>
          <w:right w:val="single" w:sz="8" w:space="0" w:color="994345" w:themeColor="accent3"/>
          <w:insideV w:val="single" w:sz="8" w:space="0" w:color="994345" w:themeColor="accent3"/>
        </w:tcBorders>
      </w:tcPr>
    </w:tblStylePr>
  </w:style>
  <w:style w:type="table" w:styleId="MediumShading1-Accent3">
    <w:name w:val="Medium Shading 1 Accent 3"/>
    <w:basedOn w:val="TableNormal"/>
    <w:uiPriority w:val="63"/>
    <w:rsid w:val="005F57A6"/>
    <w:pPr>
      <w:spacing w:after="0" w:line="240" w:lineRule="auto"/>
    </w:pPr>
    <w:tblPr>
      <w:tblStyleRowBandSize w:val="1"/>
      <w:tblStyleColBandSize w:val="1"/>
      <w:tblBorders>
        <w:top w:val="single" w:sz="8" w:space="0" w:color="BC6769" w:themeColor="accent3" w:themeTint="BF"/>
        <w:left w:val="single" w:sz="8" w:space="0" w:color="BC6769" w:themeColor="accent3" w:themeTint="BF"/>
        <w:bottom w:val="single" w:sz="8" w:space="0" w:color="BC6769" w:themeColor="accent3" w:themeTint="BF"/>
        <w:right w:val="single" w:sz="8" w:space="0" w:color="BC6769" w:themeColor="accent3" w:themeTint="BF"/>
        <w:insideH w:val="single" w:sz="8" w:space="0" w:color="BC6769" w:themeColor="accent3" w:themeTint="BF"/>
      </w:tblBorders>
    </w:tblPr>
    <w:tblStylePr w:type="firstRow">
      <w:pPr>
        <w:spacing w:before="0" w:after="0" w:line="240" w:lineRule="auto"/>
      </w:pPr>
      <w:rPr>
        <w:b/>
        <w:bCs/>
        <w:color w:val="FFFFFF" w:themeColor="background1"/>
      </w:rPr>
      <w:tblPr/>
      <w:tcPr>
        <w:tcBorders>
          <w:top w:val="single" w:sz="8" w:space="0" w:color="BC6769" w:themeColor="accent3" w:themeTint="BF"/>
          <w:left w:val="single" w:sz="8" w:space="0" w:color="BC6769" w:themeColor="accent3" w:themeTint="BF"/>
          <w:bottom w:val="single" w:sz="8" w:space="0" w:color="BC6769" w:themeColor="accent3" w:themeTint="BF"/>
          <w:right w:val="single" w:sz="8" w:space="0" w:color="BC6769" w:themeColor="accent3" w:themeTint="BF"/>
          <w:insideH w:val="nil"/>
          <w:insideV w:val="nil"/>
        </w:tcBorders>
        <w:shd w:val="clear" w:color="auto" w:fill="994345" w:themeFill="accent3"/>
      </w:tcPr>
    </w:tblStylePr>
    <w:tblStylePr w:type="lastRow">
      <w:pPr>
        <w:spacing w:before="0" w:after="0" w:line="240" w:lineRule="auto"/>
      </w:pPr>
      <w:rPr>
        <w:b/>
        <w:bCs/>
      </w:rPr>
      <w:tblPr/>
      <w:tcPr>
        <w:tcBorders>
          <w:top w:val="double" w:sz="6" w:space="0" w:color="BC6769" w:themeColor="accent3" w:themeTint="BF"/>
          <w:left w:val="single" w:sz="8" w:space="0" w:color="BC6769" w:themeColor="accent3" w:themeTint="BF"/>
          <w:bottom w:val="single" w:sz="8" w:space="0" w:color="BC6769" w:themeColor="accent3" w:themeTint="BF"/>
          <w:right w:val="single" w:sz="8" w:space="0" w:color="BC6769" w:themeColor="accent3" w:themeTint="BF"/>
          <w:insideH w:val="nil"/>
          <w:insideV w:val="nil"/>
        </w:tcBorders>
      </w:tcPr>
    </w:tblStylePr>
    <w:tblStylePr w:type="firstCol">
      <w:rPr>
        <w:b/>
        <w:bCs/>
      </w:rPr>
    </w:tblStylePr>
    <w:tblStylePr w:type="lastCol">
      <w:rPr>
        <w:b/>
        <w:bCs/>
      </w:rPr>
    </w:tblStylePr>
    <w:tblStylePr w:type="band1Vert">
      <w:tblPr/>
      <w:tcPr>
        <w:shd w:val="clear" w:color="auto" w:fill="E9CDCD" w:themeFill="accent3" w:themeFillTint="3F"/>
      </w:tcPr>
    </w:tblStylePr>
    <w:tblStylePr w:type="band1Horz">
      <w:tblPr/>
      <w:tcPr>
        <w:tcBorders>
          <w:insideH w:val="nil"/>
          <w:insideV w:val="nil"/>
        </w:tcBorders>
        <w:shd w:val="clear" w:color="auto" w:fill="E9CDCD" w:themeFill="accent3" w:themeFillTint="3F"/>
      </w:tcPr>
    </w:tblStylePr>
    <w:tblStylePr w:type="band2Horz">
      <w:tblPr/>
      <w:tcPr>
        <w:tcBorders>
          <w:insideH w:val="nil"/>
          <w:insideV w:val="nil"/>
        </w:tcBorders>
      </w:tcPr>
    </w:tblStylePr>
  </w:style>
  <w:style w:type="table" w:styleId="LightShading">
    <w:name w:val="Light Shading"/>
    <w:basedOn w:val="TableNormal"/>
    <w:uiPriority w:val="60"/>
    <w:rsid w:val="00606EE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606EE7"/>
    <w:pPr>
      <w:spacing w:after="0" w:line="240" w:lineRule="auto"/>
    </w:pPr>
    <w:rPr>
      <w:color w:val="284353" w:themeColor="accent1" w:themeShade="BF"/>
    </w:rPr>
    <w:tblPr>
      <w:tblStyleRowBandSize w:val="1"/>
      <w:tblStyleColBandSize w:val="1"/>
      <w:tblBorders>
        <w:top w:val="single" w:sz="8" w:space="0" w:color="365A70" w:themeColor="accent1"/>
        <w:bottom w:val="single" w:sz="8" w:space="0" w:color="365A70" w:themeColor="accent1"/>
      </w:tblBorders>
    </w:tblPr>
    <w:tblStylePr w:type="firstRow">
      <w:pPr>
        <w:spacing w:before="0" w:after="0" w:line="240" w:lineRule="auto"/>
      </w:pPr>
      <w:rPr>
        <w:b/>
        <w:bCs/>
      </w:rPr>
      <w:tblPr/>
      <w:tcPr>
        <w:tcBorders>
          <w:top w:val="single" w:sz="8" w:space="0" w:color="365A70" w:themeColor="accent1"/>
          <w:left w:val="nil"/>
          <w:bottom w:val="single" w:sz="8" w:space="0" w:color="365A70" w:themeColor="accent1"/>
          <w:right w:val="nil"/>
          <w:insideH w:val="nil"/>
          <w:insideV w:val="nil"/>
        </w:tcBorders>
      </w:tcPr>
    </w:tblStylePr>
    <w:tblStylePr w:type="lastRow">
      <w:pPr>
        <w:spacing w:before="0" w:after="0" w:line="240" w:lineRule="auto"/>
      </w:pPr>
      <w:rPr>
        <w:b/>
        <w:bCs/>
      </w:rPr>
      <w:tblPr/>
      <w:tcPr>
        <w:tcBorders>
          <w:top w:val="single" w:sz="8" w:space="0" w:color="365A70" w:themeColor="accent1"/>
          <w:left w:val="nil"/>
          <w:bottom w:val="single" w:sz="8" w:space="0" w:color="365A7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5D8E3" w:themeFill="accent1" w:themeFillTint="3F"/>
      </w:tcPr>
    </w:tblStylePr>
    <w:tblStylePr w:type="band1Horz">
      <w:tblPr/>
      <w:tcPr>
        <w:tcBorders>
          <w:left w:val="nil"/>
          <w:right w:val="nil"/>
          <w:insideH w:val="nil"/>
          <w:insideV w:val="nil"/>
        </w:tcBorders>
        <w:shd w:val="clear" w:color="auto" w:fill="C5D8E3" w:themeFill="accent1" w:themeFillTint="3F"/>
      </w:tcPr>
    </w:tblStylePr>
  </w:style>
  <w:style w:type="table" w:styleId="LightGrid-Accent2">
    <w:name w:val="Light Grid Accent 2"/>
    <w:basedOn w:val="TableNormal"/>
    <w:uiPriority w:val="62"/>
    <w:rsid w:val="00606EE7"/>
    <w:pPr>
      <w:spacing w:after="0" w:line="240" w:lineRule="auto"/>
    </w:pPr>
    <w:tblPr>
      <w:tblStyleRowBandSize w:val="1"/>
      <w:tblStyleColBandSize w:val="1"/>
      <w:tblBorders>
        <w:top w:val="single" w:sz="8" w:space="0" w:color="FFC133" w:themeColor="accent2"/>
        <w:left w:val="single" w:sz="8" w:space="0" w:color="FFC133" w:themeColor="accent2"/>
        <w:bottom w:val="single" w:sz="8" w:space="0" w:color="FFC133" w:themeColor="accent2"/>
        <w:right w:val="single" w:sz="8" w:space="0" w:color="FFC133" w:themeColor="accent2"/>
        <w:insideH w:val="single" w:sz="8" w:space="0" w:color="FFC133" w:themeColor="accent2"/>
        <w:insideV w:val="single" w:sz="8" w:space="0" w:color="FFC133"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133" w:themeColor="accent2"/>
          <w:left w:val="single" w:sz="8" w:space="0" w:color="FFC133" w:themeColor="accent2"/>
          <w:bottom w:val="single" w:sz="18" w:space="0" w:color="FFC133" w:themeColor="accent2"/>
          <w:right w:val="single" w:sz="8" w:space="0" w:color="FFC133" w:themeColor="accent2"/>
          <w:insideH w:val="nil"/>
          <w:insideV w:val="single" w:sz="8" w:space="0" w:color="FFC133"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133" w:themeColor="accent2"/>
          <w:left w:val="single" w:sz="8" w:space="0" w:color="FFC133" w:themeColor="accent2"/>
          <w:bottom w:val="single" w:sz="8" w:space="0" w:color="FFC133" w:themeColor="accent2"/>
          <w:right w:val="single" w:sz="8" w:space="0" w:color="FFC133" w:themeColor="accent2"/>
          <w:insideH w:val="nil"/>
          <w:insideV w:val="single" w:sz="8" w:space="0" w:color="FFC133"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133" w:themeColor="accent2"/>
          <w:left w:val="single" w:sz="8" w:space="0" w:color="FFC133" w:themeColor="accent2"/>
          <w:bottom w:val="single" w:sz="8" w:space="0" w:color="FFC133" w:themeColor="accent2"/>
          <w:right w:val="single" w:sz="8" w:space="0" w:color="FFC133" w:themeColor="accent2"/>
        </w:tcBorders>
      </w:tcPr>
    </w:tblStylePr>
    <w:tblStylePr w:type="band1Vert">
      <w:tblPr/>
      <w:tcPr>
        <w:tcBorders>
          <w:top w:val="single" w:sz="8" w:space="0" w:color="FFC133" w:themeColor="accent2"/>
          <w:left w:val="single" w:sz="8" w:space="0" w:color="FFC133" w:themeColor="accent2"/>
          <w:bottom w:val="single" w:sz="8" w:space="0" w:color="FFC133" w:themeColor="accent2"/>
          <w:right w:val="single" w:sz="8" w:space="0" w:color="FFC133" w:themeColor="accent2"/>
        </w:tcBorders>
        <w:shd w:val="clear" w:color="auto" w:fill="FFEFCC" w:themeFill="accent2" w:themeFillTint="3F"/>
      </w:tcPr>
    </w:tblStylePr>
    <w:tblStylePr w:type="band1Horz">
      <w:tblPr/>
      <w:tcPr>
        <w:tcBorders>
          <w:top w:val="single" w:sz="8" w:space="0" w:color="FFC133" w:themeColor="accent2"/>
          <w:left w:val="single" w:sz="8" w:space="0" w:color="FFC133" w:themeColor="accent2"/>
          <w:bottom w:val="single" w:sz="8" w:space="0" w:color="FFC133" w:themeColor="accent2"/>
          <w:right w:val="single" w:sz="8" w:space="0" w:color="FFC133" w:themeColor="accent2"/>
          <w:insideV w:val="single" w:sz="8" w:space="0" w:color="FFC133" w:themeColor="accent2"/>
        </w:tcBorders>
        <w:shd w:val="clear" w:color="auto" w:fill="FFEFCC" w:themeFill="accent2" w:themeFillTint="3F"/>
      </w:tcPr>
    </w:tblStylePr>
    <w:tblStylePr w:type="band2Horz">
      <w:tblPr/>
      <w:tcPr>
        <w:tcBorders>
          <w:top w:val="single" w:sz="8" w:space="0" w:color="FFC133" w:themeColor="accent2"/>
          <w:left w:val="single" w:sz="8" w:space="0" w:color="FFC133" w:themeColor="accent2"/>
          <w:bottom w:val="single" w:sz="8" w:space="0" w:color="FFC133" w:themeColor="accent2"/>
          <w:right w:val="single" w:sz="8" w:space="0" w:color="FFC133" w:themeColor="accent2"/>
          <w:insideV w:val="single" w:sz="8" w:space="0" w:color="FFC133" w:themeColor="accent2"/>
        </w:tcBorders>
      </w:tcPr>
    </w:tblStylePr>
  </w:style>
  <w:style w:type="table" w:styleId="LightGrid-Accent1">
    <w:name w:val="Light Grid Accent 1"/>
    <w:basedOn w:val="TableNormal"/>
    <w:uiPriority w:val="62"/>
    <w:rsid w:val="00606EE7"/>
    <w:pPr>
      <w:spacing w:after="0" w:line="240" w:lineRule="auto"/>
    </w:pPr>
    <w:tblPr>
      <w:tblStyleRowBandSize w:val="1"/>
      <w:tblStyleColBandSize w:val="1"/>
      <w:tblBorders>
        <w:top w:val="single" w:sz="8" w:space="0" w:color="365A70" w:themeColor="accent1"/>
        <w:left w:val="single" w:sz="8" w:space="0" w:color="365A70" w:themeColor="accent1"/>
        <w:bottom w:val="single" w:sz="8" w:space="0" w:color="365A70" w:themeColor="accent1"/>
        <w:right w:val="single" w:sz="8" w:space="0" w:color="365A70" w:themeColor="accent1"/>
        <w:insideH w:val="single" w:sz="8" w:space="0" w:color="365A70" w:themeColor="accent1"/>
        <w:insideV w:val="single" w:sz="8" w:space="0" w:color="365A7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65A70" w:themeColor="accent1"/>
          <w:left w:val="single" w:sz="8" w:space="0" w:color="365A70" w:themeColor="accent1"/>
          <w:bottom w:val="single" w:sz="18" w:space="0" w:color="365A70" w:themeColor="accent1"/>
          <w:right w:val="single" w:sz="8" w:space="0" w:color="365A70" w:themeColor="accent1"/>
          <w:insideH w:val="nil"/>
          <w:insideV w:val="single" w:sz="8" w:space="0" w:color="365A7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65A70" w:themeColor="accent1"/>
          <w:left w:val="single" w:sz="8" w:space="0" w:color="365A70" w:themeColor="accent1"/>
          <w:bottom w:val="single" w:sz="8" w:space="0" w:color="365A70" w:themeColor="accent1"/>
          <w:right w:val="single" w:sz="8" w:space="0" w:color="365A70" w:themeColor="accent1"/>
          <w:insideH w:val="nil"/>
          <w:insideV w:val="single" w:sz="8" w:space="0" w:color="365A7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65A70" w:themeColor="accent1"/>
          <w:left w:val="single" w:sz="8" w:space="0" w:color="365A70" w:themeColor="accent1"/>
          <w:bottom w:val="single" w:sz="8" w:space="0" w:color="365A70" w:themeColor="accent1"/>
          <w:right w:val="single" w:sz="8" w:space="0" w:color="365A70" w:themeColor="accent1"/>
        </w:tcBorders>
      </w:tcPr>
    </w:tblStylePr>
    <w:tblStylePr w:type="band1Vert">
      <w:tblPr/>
      <w:tcPr>
        <w:tcBorders>
          <w:top w:val="single" w:sz="8" w:space="0" w:color="365A70" w:themeColor="accent1"/>
          <w:left w:val="single" w:sz="8" w:space="0" w:color="365A70" w:themeColor="accent1"/>
          <w:bottom w:val="single" w:sz="8" w:space="0" w:color="365A70" w:themeColor="accent1"/>
          <w:right w:val="single" w:sz="8" w:space="0" w:color="365A70" w:themeColor="accent1"/>
        </w:tcBorders>
        <w:shd w:val="clear" w:color="auto" w:fill="C5D8E3" w:themeFill="accent1" w:themeFillTint="3F"/>
      </w:tcPr>
    </w:tblStylePr>
    <w:tblStylePr w:type="band1Horz">
      <w:tblPr/>
      <w:tcPr>
        <w:tcBorders>
          <w:top w:val="single" w:sz="8" w:space="0" w:color="365A70" w:themeColor="accent1"/>
          <w:left w:val="single" w:sz="8" w:space="0" w:color="365A70" w:themeColor="accent1"/>
          <w:bottom w:val="single" w:sz="8" w:space="0" w:color="365A70" w:themeColor="accent1"/>
          <w:right w:val="single" w:sz="8" w:space="0" w:color="365A70" w:themeColor="accent1"/>
          <w:insideV w:val="single" w:sz="8" w:space="0" w:color="365A70" w:themeColor="accent1"/>
        </w:tcBorders>
        <w:shd w:val="clear" w:color="auto" w:fill="C5D8E3" w:themeFill="accent1" w:themeFillTint="3F"/>
      </w:tcPr>
    </w:tblStylePr>
    <w:tblStylePr w:type="band2Horz">
      <w:tblPr/>
      <w:tcPr>
        <w:tcBorders>
          <w:top w:val="single" w:sz="8" w:space="0" w:color="365A70" w:themeColor="accent1"/>
          <w:left w:val="single" w:sz="8" w:space="0" w:color="365A70" w:themeColor="accent1"/>
          <w:bottom w:val="single" w:sz="8" w:space="0" w:color="365A70" w:themeColor="accent1"/>
          <w:right w:val="single" w:sz="8" w:space="0" w:color="365A70" w:themeColor="accent1"/>
          <w:insideV w:val="single" w:sz="8" w:space="0" w:color="365A70" w:themeColor="accent1"/>
        </w:tcBorders>
      </w:tcPr>
    </w:tblStylePr>
  </w:style>
  <w:style w:type="table" w:styleId="MediumShading1-Accent2">
    <w:name w:val="Medium Shading 1 Accent 2"/>
    <w:basedOn w:val="TableNormal"/>
    <w:uiPriority w:val="63"/>
    <w:rsid w:val="00606EE7"/>
    <w:pPr>
      <w:spacing w:after="0" w:line="240" w:lineRule="auto"/>
    </w:pPr>
    <w:tblPr>
      <w:tblStyleRowBandSize w:val="1"/>
      <w:tblStyleColBandSize w:val="1"/>
      <w:tblBorders>
        <w:top w:val="single" w:sz="8" w:space="0" w:color="FFD066" w:themeColor="accent2" w:themeTint="BF"/>
        <w:left w:val="single" w:sz="8" w:space="0" w:color="FFD066" w:themeColor="accent2" w:themeTint="BF"/>
        <w:bottom w:val="single" w:sz="8" w:space="0" w:color="FFD066" w:themeColor="accent2" w:themeTint="BF"/>
        <w:right w:val="single" w:sz="8" w:space="0" w:color="FFD066" w:themeColor="accent2" w:themeTint="BF"/>
        <w:insideH w:val="single" w:sz="8" w:space="0" w:color="FFD066" w:themeColor="accent2" w:themeTint="BF"/>
      </w:tblBorders>
    </w:tblPr>
    <w:tblStylePr w:type="firstRow">
      <w:pPr>
        <w:spacing w:before="0" w:after="0" w:line="240" w:lineRule="auto"/>
      </w:pPr>
      <w:rPr>
        <w:b/>
        <w:bCs/>
        <w:color w:val="FFFFFF" w:themeColor="background1"/>
      </w:rPr>
      <w:tblPr/>
      <w:tcPr>
        <w:tcBorders>
          <w:top w:val="single" w:sz="8" w:space="0" w:color="FFD066" w:themeColor="accent2" w:themeTint="BF"/>
          <w:left w:val="single" w:sz="8" w:space="0" w:color="FFD066" w:themeColor="accent2" w:themeTint="BF"/>
          <w:bottom w:val="single" w:sz="8" w:space="0" w:color="FFD066" w:themeColor="accent2" w:themeTint="BF"/>
          <w:right w:val="single" w:sz="8" w:space="0" w:color="FFD066" w:themeColor="accent2" w:themeTint="BF"/>
          <w:insideH w:val="nil"/>
          <w:insideV w:val="nil"/>
        </w:tcBorders>
        <w:shd w:val="clear" w:color="auto" w:fill="FFC133" w:themeFill="accent2"/>
      </w:tcPr>
    </w:tblStylePr>
    <w:tblStylePr w:type="lastRow">
      <w:pPr>
        <w:spacing w:before="0" w:after="0" w:line="240" w:lineRule="auto"/>
      </w:pPr>
      <w:rPr>
        <w:b/>
        <w:bCs/>
      </w:rPr>
      <w:tblPr/>
      <w:tcPr>
        <w:tcBorders>
          <w:top w:val="double" w:sz="6" w:space="0" w:color="FFD066" w:themeColor="accent2" w:themeTint="BF"/>
          <w:left w:val="single" w:sz="8" w:space="0" w:color="FFD066" w:themeColor="accent2" w:themeTint="BF"/>
          <w:bottom w:val="single" w:sz="8" w:space="0" w:color="FFD066" w:themeColor="accent2" w:themeTint="BF"/>
          <w:right w:val="single" w:sz="8" w:space="0" w:color="FFD066"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EFCC" w:themeFill="accent2" w:themeFillTint="3F"/>
      </w:tcPr>
    </w:tblStylePr>
    <w:tblStylePr w:type="band1Horz">
      <w:tblPr/>
      <w:tcPr>
        <w:tcBorders>
          <w:insideH w:val="nil"/>
          <w:insideV w:val="nil"/>
        </w:tcBorders>
        <w:shd w:val="clear" w:color="auto" w:fill="FFEFCC" w:themeFill="accent2"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606EE7"/>
    <w:pPr>
      <w:spacing w:after="0" w:line="240" w:lineRule="auto"/>
    </w:pPr>
    <w:tblPr>
      <w:tblStyleRowBandSize w:val="1"/>
      <w:tblStyleColBandSize w:val="1"/>
      <w:tblBorders>
        <w:top w:val="single" w:sz="8" w:space="0" w:color="5288AA" w:themeColor="accent1" w:themeTint="BF"/>
        <w:left w:val="single" w:sz="8" w:space="0" w:color="5288AA" w:themeColor="accent1" w:themeTint="BF"/>
        <w:bottom w:val="single" w:sz="8" w:space="0" w:color="5288AA" w:themeColor="accent1" w:themeTint="BF"/>
        <w:right w:val="single" w:sz="8" w:space="0" w:color="5288AA" w:themeColor="accent1" w:themeTint="BF"/>
        <w:insideH w:val="single" w:sz="8" w:space="0" w:color="5288AA" w:themeColor="accent1" w:themeTint="BF"/>
      </w:tblBorders>
    </w:tblPr>
    <w:tblStylePr w:type="firstRow">
      <w:pPr>
        <w:spacing w:before="0" w:after="0" w:line="240" w:lineRule="auto"/>
      </w:pPr>
      <w:rPr>
        <w:b/>
        <w:bCs/>
        <w:color w:val="FFFFFF" w:themeColor="background1"/>
      </w:rPr>
      <w:tblPr/>
      <w:tcPr>
        <w:tcBorders>
          <w:top w:val="single" w:sz="8" w:space="0" w:color="5288AA" w:themeColor="accent1" w:themeTint="BF"/>
          <w:left w:val="single" w:sz="8" w:space="0" w:color="5288AA" w:themeColor="accent1" w:themeTint="BF"/>
          <w:bottom w:val="single" w:sz="8" w:space="0" w:color="5288AA" w:themeColor="accent1" w:themeTint="BF"/>
          <w:right w:val="single" w:sz="8" w:space="0" w:color="5288AA" w:themeColor="accent1" w:themeTint="BF"/>
          <w:insideH w:val="nil"/>
          <w:insideV w:val="nil"/>
        </w:tcBorders>
        <w:shd w:val="clear" w:color="auto" w:fill="365A70" w:themeFill="accent1"/>
      </w:tcPr>
    </w:tblStylePr>
    <w:tblStylePr w:type="lastRow">
      <w:pPr>
        <w:spacing w:before="0" w:after="0" w:line="240" w:lineRule="auto"/>
      </w:pPr>
      <w:rPr>
        <w:b/>
        <w:bCs/>
      </w:rPr>
      <w:tblPr/>
      <w:tcPr>
        <w:tcBorders>
          <w:top w:val="double" w:sz="6" w:space="0" w:color="5288AA" w:themeColor="accent1" w:themeTint="BF"/>
          <w:left w:val="single" w:sz="8" w:space="0" w:color="5288AA" w:themeColor="accent1" w:themeTint="BF"/>
          <w:bottom w:val="single" w:sz="8" w:space="0" w:color="5288AA" w:themeColor="accent1" w:themeTint="BF"/>
          <w:right w:val="single" w:sz="8" w:space="0" w:color="5288AA" w:themeColor="accent1" w:themeTint="BF"/>
          <w:insideH w:val="nil"/>
          <w:insideV w:val="nil"/>
        </w:tcBorders>
      </w:tcPr>
    </w:tblStylePr>
    <w:tblStylePr w:type="firstCol">
      <w:rPr>
        <w:b/>
        <w:bCs/>
      </w:rPr>
    </w:tblStylePr>
    <w:tblStylePr w:type="lastCol">
      <w:rPr>
        <w:b/>
        <w:bCs/>
      </w:rPr>
    </w:tblStylePr>
    <w:tblStylePr w:type="band1Vert">
      <w:tblPr/>
      <w:tcPr>
        <w:shd w:val="clear" w:color="auto" w:fill="C5D8E3" w:themeFill="accent1" w:themeFillTint="3F"/>
      </w:tcPr>
    </w:tblStylePr>
    <w:tblStylePr w:type="band1Horz">
      <w:tblPr/>
      <w:tcPr>
        <w:tcBorders>
          <w:insideH w:val="nil"/>
          <w:insideV w:val="nil"/>
        </w:tcBorders>
        <w:shd w:val="clear" w:color="auto" w:fill="C5D8E3" w:themeFill="accent1" w:themeFillTint="3F"/>
      </w:tcPr>
    </w:tblStylePr>
    <w:tblStylePr w:type="band2Horz">
      <w:tblPr/>
      <w:tcPr>
        <w:tcBorders>
          <w:insideH w:val="nil"/>
          <w:insideV w:val="nil"/>
        </w:tcBorders>
      </w:tcPr>
    </w:tblStylePr>
  </w:style>
  <w:style w:type="character" w:styleId="CommentReference">
    <w:name w:val="annotation reference"/>
    <w:basedOn w:val="DefaultParagraphFont"/>
    <w:uiPriority w:val="99"/>
    <w:semiHidden/>
    <w:unhideWhenUsed/>
    <w:rsid w:val="0050238A"/>
    <w:rPr>
      <w:sz w:val="16"/>
      <w:szCs w:val="16"/>
    </w:rPr>
  </w:style>
  <w:style w:type="paragraph" w:styleId="CommentText">
    <w:name w:val="annotation text"/>
    <w:basedOn w:val="Normal"/>
    <w:link w:val="CommentTextChar"/>
    <w:uiPriority w:val="99"/>
    <w:semiHidden/>
    <w:unhideWhenUsed/>
    <w:rsid w:val="0050238A"/>
    <w:pPr>
      <w:spacing w:line="240" w:lineRule="auto"/>
    </w:pPr>
    <w:rPr>
      <w:szCs w:val="20"/>
    </w:rPr>
  </w:style>
  <w:style w:type="character" w:customStyle="1" w:styleId="CommentTextChar">
    <w:name w:val="Comment Text Char"/>
    <w:basedOn w:val="DefaultParagraphFont"/>
    <w:link w:val="CommentText"/>
    <w:uiPriority w:val="99"/>
    <w:semiHidden/>
    <w:rsid w:val="0050238A"/>
    <w:rPr>
      <w:rFonts w:ascii="Arial Narrow" w:hAnsi="Arial Narrow"/>
      <w:sz w:val="20"/>
      <w:szCs w:val="20"/>
    </w:rPr>
  </w:style>
  <w:style w:type="paragraph" w:styleId="CommentSubject">
    <w:name w:val="annotation subject"/>
    <w:basedOn w:val="CommentText"/>
    <w:next w:val="CommentText"/>
    <w:link w:val="CommentSubjectChar"/>
    <w:uiPriority w:val="99"/>
    <w:semiHidden/>
    <w:unhideWhenUsed/>
    <w:rsid w:val="0050238A"/>
    <w:rPr>
      <w:b/>
      <w:bCs/>
    </w:rPr>
  </w:style>
  <w:style w:type="character" w:customStyle="1" w:styleId="CommentSubjectChar">
    <w:name w:val="Comment Subject Char"/>
    <w:basedOn w:val="CommentTextChar"/>
    <w:link w:val="CommentSubject"/>
    <w:uiPriority w:val="99"/>
    <w:semiHidden/>
    <w:rsid w:val="0050238A"/>
    <w:rPr>
      <w:rFonts w:ascii="Arial Narrow" w:hAnsi="Arial Narrow"/>
      <w:b/>
      <w:bCs/>
      <w:sz w:val="20"/>
      <w:szCs w:val="20"/>
    </w:rPr>
  </w:style>
  <w:style w:type="numbering" w:customStyle="1" w:styleId="Style1">
    <w:name w:val="Style1"/>
    <w:uiPriority w:val="99"/>
    <w:rsid w:val="00611617"/>
    <w:pPr>
      <w:numPr>
        <w:numId w:val="30"/>
      </w:numPr>
    </w:pPr>
  </w:style>
  <w:style w:type="paragraph" w:customStyle="1" w:styleId="footnote">
    <w:name w:val="footnote"/>
    <w:basedOn w:val="Normal"/>
    <w:link w:val="footnoteChar"/>
    <w:qFormat/>
    <w:rsid w:val="00A50AB7"/>
    <w:pPr>
      <w:tabs>
        <w:tab w:val="left" w:pos="180"/>
      </w:tabs>
      <w:ind w:left="180" w:hanging="180"/>
    </w:pPr>
    <w:rPr>
      <w:sz w:val="22"/>
    </w:rPr>
  </w:style>
  <w:style w:type="character" w:customStyle="1" w:styleId="footnoteChar">
    <w:name w:val="footnote Char"/>
    <w:basedOn w:val="DefaultParagraphFont"/>
    <w:link w:val="footnote"/>
    <w:rsid w:val="00A50AB7"/>
    <w:rPr>
      <w:rFonts w:ascii="Calibri Light" w:eastAsia="Calibri" w:hAnsi="Calibri Light" w:cs="Times New Roman"/>
      <w:szCs w:val="2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028553">
      <w:bodyDiv w:val="1"/>
      <w:marLeft w:val="0"/>
      <w:marRight w:val="0"/>
      <w:marTop w:val="0"/>
      <w:marBottom w:val="0"/>
      <w:divBdr>
        <w:top w:val="none" w:sz="0" w:space="0" w:color="auto"/>
        <w:left w:val="none" w:sz="0" w:space="0" w:color="auto"/>
        <w:bottom w:val="none" w:sz="0" w:space="0" w:color="auto"/>
        <w:right w:val="none" w:sz="0" w:space="0" w:color="auto"/>
      </w:divBdr>
    </w:div>
    <w:div w:id="830490140">
      <w:bodyDiv w:val="1"/>
      <w:marLeft w:val="0"/>
      <w:marRight w:val="0"/>
      <w:marTop w:val="0"/>
      <w:marBottom w:val="0"/>
      <w:divBdr>
        <w:top w:val="none" w:sz="0" w:space="0" w:color="auto"/>
        <w:left w:val="none" w:sz="0" w:space="0" w:color="auto"/>
        <w:bottom w:val="none" w:sz="0" w:space="0" w:color="auto"/>
        <w:right w:val="none" w:sz="0" w:space="0" w:color="auto"/>
      </w:divBdr>
    </w:div>
    <w:div w:id="1079907060">
      <w:bodyDiv w:val="1"/>
      <w:marLeft w:val="0"/>
      <w:marRight w:val="0"/>
      <w:marTop w:val="0"/>
      <w:marBottom w:val="0"/>
      <w:divBdr>
        <w:top w:val="none" w:sz="0" w:space="0" w:color="auto"/>
        <w:left w:val="none" w:sz="0" w:space="0" w:color="auto"/>
        <w:bottom w:val="none" w:sz="0" w:space="0" w:color="auto"/>
        <w:right w:val="none" w:sz="0" w:space="0" w:color="auto"/>
      </w:divBdr>
    </w:div>
    <w:div w:id="1161506134">
      <w:bodyDiv w:val="1"/>
      <w:marLeft w:val="0"/>
      <w:marRight w:val="0"/>
      <w:marTop w:val="0"/>
      <w:marBottom w:val="0"/>
      <w:divBdr>
        <w:top w:val="none" w:sz="0" w:space="0" w:color="auto"/>
        <w:left w:val="none" w:sz="0" w:space="0" w:color="auto"/>
        <w:bottom w:val="none" w:sz="0" w:space="0" w:color="auto"/>
        <w:right w:val="none" w:sz="0" w:space="0" w:color="auto"/>
      </w:divBdr>
    </w:div>
    <w:div w:id="1815373587">
      <w:bodyDiv w:val="1"/>
      <w:marLeft w:val="0"/>
      <w:marRight w:val="0"/>
      <w:marTop w:val="0"/>
      <w:marBottom w:val="0"/>
      <w:divBdr>
        <w:top w:val="none" w:sz="0" w:space="0" w:color="auto"/>
        <w:left w:val="none" w:sz="0" w:space="0" w:color="auto"/>
        <w:bottom w:val="none" w:sz="0" w:space="0" w:color="auto"/>
        <w:right w:val="none" w:sz="0" w:space="0" w:color="auto"/>
      </w:divBdr>
    </w:div>
    <w:div w:id="1927031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spero\AppData\Local\Microsoft\Windows\Temporary%20Internet%20Files\Content.IE5\M222WPUZ\2.%20Shelter%20Cluster%20Word%20Template%20(2007%20and%20later).dotx" TargetMode="External"/></Relationships>
</file>

<file path=word/theme/theme1.xml><?xml version="1.0" encoding="utf-8"?>
<a:theme xmlns:a="http://schemas.openxmlformats.org/drawingml/2006/main" name="Office Theme">
  <a:themeElements>
    <a:clrScheme name="Shelter Cluster 3 Soft">
      <a:dk1>
        <a:sysClr val="windowText" lastClr="000000"/>
      </a:dk1>
      <a:lt1>
        <a:sysClr val="window" lastClr="FFFFFF"/>
      </a:lt1>
      <a:dk2>
        <a:srgbClr val="04314C"/>
      </a:dk2>
      <a:lt2>
        <a:srgbClr val="F6F6F6"/>
      </a:lt2>
      <a:accent1>
        <a:srgbClr val="365A70"/>
      </a:accent1>
      <a:accent2>
        <a:srgbClr val="FFC133"/>
      </a:accent2>
      <a:accent3>
        <a:srgbClr val="994345"/>
      </a:accent3>
      <a:accent4>
        <a:srgbClr val="84C559"/>
      </a:accent4>
      <a:accent5>
        <a:srgbClr val="FD3333"/>
      </a:accent5>
      <a:accent6>
        <a:srgbClr val="459FD5"/>
      </a:accent6>
      <a:hlink>
        <a:srgbClr val="994345"/>
      </a:hlink>
      <a:folHlink>
        <a:srgbClr val="7030A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Websio_x0020_Document_x0020_Preview xmlns="96664bca-06c0-4657-b6f9-0a997f5ff9b9">/Global/_layouts/WebsioPreviewField/preview.aspx?ID=407d3656-0055-44c0-b521-7ca8ec2b90e3&amp;WebID=30d679d3-1a3d-45e2-8217-3a6e66821850&amp;SiteID=0e29c24b-3e6a-4c7c-8cc1-69b27805b55c</Websio_x0020_Document_x0020_Preview>
    <TaxKeywordTaxHTField xmlns="96664bca-06c0-4657-b6f9-0a997f5ff9b9">
      <Terms xmlns="http://schemas.microsoft.com/office/infopath/2007/PartnerControls"/>
    </TaxKeywordTaxHTField>
    <ff39aabcbcfa4b29888983c5e6d736f9 xmlns="96664bca-06c0-4657-b6f9-0a997f5ff9b9">
      <Terms xmlns="http://schemas.microsoft.com/office/infopath/2007/PartnerControls"/>
    </ff39aabcbcfa4b29888983c5e6d736f9>
    <TaxCatchAll xmlns="96664bca-06c0-4657-b6f9-0a997f5ff9b9"/>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A1A5D493A4FFE498D319528BB467A34" ma:contentTypeVersion="5" ma:contentTypeDescription="Create a new document." ma:contentTypeScope="" ma:versionID="11ec9aea9b1d3ac42ce7e970bae708c8">
  <xsd:schema xmlns:xsd="http://www.w3.org/2001/XMLSchema" xmlns:xs="http://www.w3.org/2001/XMLSchema" xmlns:p="http://schemas.microsoft.com/office/2006/metadata/properties" xmlns:ns2="96664bca-06c0-4657-b6f9-0a997f5ff9b9" targetNamespace="http://schemas.microsoft.com/office/2006/metadata/properties" ma:root="true" ma:fieldsID="fc0d6eb600870ed0ea0abd446f02cd74" ns2:_="">
    <xsd:import namespace="96664bca-06c0-4657-b6f9-0a997f5ff9b9"/>
    <xsd:element name="properties">
      <xsd:complexType>
        <xsd:sequence>
          <xsd:element name="documentManagement">
            <xsd:complexType>
              <xsd:all>
                <xsd:element ref="ns2:Websio_x0020_Document_x0020_Preview" minOccurs="0"/>
                <xsd:element ref="ns2:ff39aabcbcfa4b29888983c5e6d736f9" minOccurs="0"/>
                <xsd:element ref="ns2:TaxCatchAll" minOccurs="0"/>
                <xsd:element ref="ns2: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664bca-06c0-4657-b6f9-0a997f5ff9b9" elementFormDefault="qualified">
    <xsd:import namespace="http://schemas.microsoft.com/office/2006/documentManagement/types"/>
    <xsd:import namespace="http://schemas.microsoft.com/office/infopath/2007/PartnerControls"/>
    <xsd:element name="Websio_x0020_Document_x0020_Preview" ma:index="8" nillable="true" ma:displayName="Websio Document Preview" ma:hidden="true" ma:internalName="Websio_x0020_Document_x0020_Preview">
      <xsd:simpleType>
        <xsd:restriction base="dms:Text"/>
      </xsd:simpleType>
    </xsd:element>
    <xsd:element name="ff39aabcbcfa4b29888983c5e6d736f9" ma:index="10" nillable="true" ma:taxonomy="true" ma:internalName="ff39aabcbcfa4b29888983c5e6d736f9" ma:taxonomyFieldName="Communications" ma:displayName="Communications" ma:default="" ma:fieldId="{ff39aabc-bcfa-4b29-8889-83c5e6d736f9}" ma:sspId="31bb8de2-2522-46a2-961a-21ec87b7ce6b" ma:termSetId="2f8f2b4b-d4e1-4fa6-a1ae-b4e143ba8fb0" ma:anchorId="00000000-0000-0000-0000-000000000000" ma:open="true" ma:isKeyword="false">
      <xsd:complexType>
        <xsd:sequence>
          <xsd:element ref="pc:Terms" minOccurs="0" maxOccurs="1"/>
        </xsd:sequence>
      </xsd:complexType>
    </xsd:element>
    <xsd:element name="TaxCatchAll" ma:index="11" nillable="true" ma:displayName="Taxonomy Catch All Column" ma:hidden="true" ma:list="{3a036ed0-d222-47b6-8583-8ea0c1662976}" ma:internalName="TaxCatchAll" ma:showField="CatchAllData" ma:web="96664bca-06c0-4657-b6f9-0a997f5ff9b9">
      <xsd:complexType>
        <xsd:complexContent>
          <xsd:extension base="dms:MultiChoiceLookup">
            <xsd:sequence>
              <xsd:element name="Value" type="dms:Lookup" maxOccurs="unbounded" minOccurs="0" nillable="true"/>
            </xsd:sequence>
          </xsd:extension>
        </xsd:complexContent>
      </xsd:complexType>
    </xsd:element>
    <xsd:element name="TaxKeywordTaxHTField" ma:index="13" nillable="true" ma:taxonomy="true" ma:internalName="TaxKeywordTaxHTField" ma:taxonomyFieldName="TaxKeyword" ma:displayName="Other Keywords" ma:fieldId="{23f27201-bee3-471e-b2e7-b64fd8b7ca38}" ma:taxonomyMulti="true" ma:sspId="31bb8de2-2522-46a2-961a-21ec87b7ce6b"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A08F33-3400-49F2-9DC1-ECEFEAF99888}">
  <ds:schemaRefs>
    <ds:schemaRef ds:uri="http://schemas.microsoft.com/sharepoint/v3/contenttype/forms"/>
  </ds:schemaRefs>
</ds:datastoreItem>
</file>

<file path=customXml/itemProps2.xml><?xml version="1.0" encoding="utf-8"?>
<ds:datastoreItem xmlns:ds="http://schemas.openxmlformats.org/officeDocument/2006/customXml" ds:itemID="{E31D3D78-6EFB-430B-B90C-F2AE01014930}">
  <ds:schemaRefs>
    <ds:schemaRef ds:uri="http://schemas.microsoft.com/office/2006/metadata/properties"/>
    <ds:schemaRef ds:uri="http://schemas.microsoft.com/office/infopath/2007/PartnerControls"/>
    <ds:schemaRef ds:uri="96664bca-06c0-4657-b6f9-0a997f5ff9b9"/>
  </ds:schemaRefs>
</ds:datastoreItem>
</file>

<file path=customXml/itemProps3.xml><?xml version="1.0" encoding="utf-8"?>
<ds:datastoreItem xmlns:ds="http://schemas.openxmlformats.org/officeDocument/2006/customXml" ds:itemID="{628F209E-44C9-46C4-89D4-2AC600CD30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664bca-06c0-4657-b6f9-0a997f5ff9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9585F09-DE7D-4BB0-854E-445EDBD13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 Shelter Cluster Word Template (2007 and later)</Template>
  <TotalTime>7</TotalTime>
  <Pages>3</Pages>
  <Words>718</Words>
  <Characters>4095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2. Shelter Cluster Word Template (2007 and later)</vt:lpstr>
    </vt:vector>
  </TitlesOfParts>
  <Company>Global Shelter Cluster</Company>
  <LinksUpToDate>false</LinksUpToDate>
  <CharactersWithSpaces>4804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 Shelter Cluster Word Template (2007 and later)</dc:title>
  <dc:creator>prospero</dc:creator>
  <cp:lastModifiedBy>Franck Bouvet</cp:lastModifiedBy>
  <cp:revision>8</cp:revision>
  <cp:lastPrinted>2018-03-15T10:47:00Z</cp:lastPrinted>
  <dcterms:created xsi:type="dcterms:W3CDTF">2018-03-27T19:36:00Z</dcterms:created>
  <dcterms:modified xsi:type="dcterms:W3CDTF">2018-07-03T08:29:00Z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0x010100EA1A5D493A4FFE498D319528BB467A34</vt:lpwstr>
  </property>
  <property fmtid="{D5CDD505-2E9C-101B-9397-08002B2CF9AE}" pid="3" name="TaxKeyword">
    <vt:lpwstr/>
  </property>
</Properties>
</file>