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A5" w:rsidRPr="00B94CA5" w:rsidRDefault="00B94CA5" w:rsidP="00B94CA5">
      <w:pPr>
        <w:rPr>
          <w:rFonts w:ascii="Arial Narrow" w:hAnsi="Arial Narrow"/>
          <w:b/>
          <w:sz w:val="24"/>
          <w:szCs w:val="24"/>
        </w:rPr>
      </w:pPr>
      <w:r w:rsidRPr="00B94CA5">
        <w:rPr>
          <w:rFonts w:ascii="Arial Narrow" w:hAnsi="Arial Narrow"/>
          <w:noProof/>
        </w:rPr>
        <mc:AlternateContent>
          <mc:Choice Requires="wps">
            <w:drawing>
              <wp:anchor distT="0" distB="0" distL="114300" distR="114300" simplePos="0" relativeHeight="251659264" behindDoc="1" locked="0" layoutInCell="1" allowOverlap="1" wp14:anchorId="625C5815" wp14:editId="0BAC125F">
                <wp:simplePos x="0" y="0"/>
                <wp:positionH relativeFrom="column">
                  <wp:posOffset>374650</wp:posOffset>
                </wp:positionH>
                <wp:positionV relativeFrom="paragraph">
                  <wp:posOffset>71120</wp:posOffset>
                </wp:positionV>
                <wp:extent cx="5200650" cy="866775"/>
                <wp:effectExtent l="0" t="0" r="0" b="9525"/>
                <wp:wrapNone/>
                <wp:docPr id="4" name="Rectangle 4"/>
                <wp:cNvGraphicFramePr/>
                <a:graphic xmlns:a="http://schemas.openxmlformats.org/drawingml/2006/main">
                  <a:graphicData uri="http://schemas.microsoft.com/office/word/2010/wordprocessingShape">
                    <wps:wsp>
                      <wps:cNvSpPr/>
                      <wps:spPr>
                        <a:xfrm>
                          <a:off x="0" y="0"/>
                          <a:ext cx="5200650" cy="866775"/>
                        </a:xfrm>
                        <a:prstGeom prst="rect">
                          <a:avLst/>
                        </a:prstGeom>
                        <a:solidFill>
                          <a:srgbClr val="0064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4CA5" w:rsidRPr="00B94CA5" w:rsidRDefault="00B94CA5" w:rsidP="00B94CA5">
                            <w:pPr>
                              <w:jc w:val="center"/>
                              <w:rPr>
                                <w:rFonts w:ascii="Arial Narrow" w:hAnsi="Arial Narrow"/>
                                <w:sz w:val="40"/>
                                <w:szCs w:val="24"/>
                              </w:rPr>
                            </w:pPr>
                            <w:r w:rsidRPr="00B94CA5">
                              <w:rPr>
                                <w:rFonts w:ascii="Arial Narrow" w:hAnsi="Arial Narrow"/>
                                <w:sz w:val="40"/>
                                <w:szCs w:val="24"/>
                              </w:rPr>
                              <w:t>Markets Technical Working Group</w:t>
                            </w:r>
                          </w:p>
                          <w:p w:rsidR="00B94CA5" w:rsidRPr="00B94CA5" w:rsidRDefault="00B94CA5" w:rsidP="00B94CA5">
                            <w:pPr>
                              <w:jc w:val="center"/>
                              <w:rPr>
                                <w:sz w:val="36"/>
                              </w:rPr>
                            </w:pPr>
                            <w:r w:rsidRPr="00B94CA5">
                              <w:rPr>
                                <w:rFonts w:ascii="Arial Narrow" w:hAnsi="Arial Narrow"/>
                                <w:sz w:val="40"/>
                                <w:szCs w:val="24"/>
                              </w:rPr>
                              <w:t xml:space="preserve">Terms of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25C5815" id="Rectangle 4" o:spid="_x0000_s1026" style="position:absolute;margin-left:29.5pt;margin-top:5.6pt;width:409.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" fillcolor="#006462" stroked="f" strokeweight="1pt">
                <v:textbox>
                  <w:txbxContent>
                    <w:p w:rsidR="00B94CA5" w:rsidRPr="00B94CA5" w:rsidRDefault="00B94CA5" w:rsidP="00B94CA5">
                      <w:pPr>
                        <w:jc w:val="center"/>
                        <w:rPr>
                          <w:rFonts w:ascii="Arial Narrow" w:hAnsi="Arial Narrow"/>
                          <w:sz w:val="40"/>
                          <w:szCs w:val="24"/>
                        </w:rPr>
                      </w:pPr>
                      <w:r w:rsidRPr="00B94CA5">
                        <w:rPr>
                          <w:rFonts w:ascii="Arial Narrow" w:hAnsi="Arial Narrow"/>
                          <w:sz w:val="40"/>
                          <w:szCs w:val="24"/>
                        </w:rPr>
                        <w:t>Markets Technical Working Group</w:t>
                      </w:r>
                    </w:p>
                    <w:p w:rsidR="00B94CA5" w:rsidRPr="00B94CA5" w:rsidRDefault="00B94CA5" w:rsidP="00B94CA5">
                      <w:pPr>
                        <w:jc w:val="center"/>
                        <w:rPr>
                          <w:sz w:val="36"/>
                        </w:rPr>
                      </w:pPr>
                      <w:r w:rsidRPr="00B94CA5">
                        <w:rPr>
                          <w:rFonts w:ascii="Arial Narrow" w:hAnsi="Arial Narrow"/>
                          <w:sz w:val="40"/>
                          <w:szCs w:val="24"/>
                        </w:rPr>
                        <w:t xml:space="preserve">Terms of Reference </w:t>
                      </w:r>
                    </w:p>
                  </w:txbxContent>
                </v:textbox>
              </v:rect>
            </w:pict>
          </mc:Fallback>
        </mc:AlternateContent>
      </w:r>
      <w:r>
        <w:rPr>
          <w:rFonts w:ascii="Arial Narrow" w:hAnsi="Arial Narrow"/>
          <w:color w:val="FFFFFF" w:themeColor="background1"/>
          <w:sz w:val="48"/>
          <w:szCs w:val="48"/>
        </w:rPr>
        <w:tab/>
      </w:r>
    </w:p>
    <w:p w:rsidR="00B94CA5" w:rsidRDefault="00B94CA5" w:rsidP="00B94CA5">
      <w:pPr>
        <w:pStyle w:val="heading1wash"/>
        <w:tabs>
          <w:tab w:val="center" w:pos="4680"/>
          <w:tab w:val="left" w:pos="8145"/>
        </w:tabs>
        <w:spacing w:after="0"/>
        <w:rPr>
          <w:rFonts w:ascii="Arial Narrow" w:hAnsi="Arial Narrow"/>
          <w:color w:val="FFFFFF" w:themeColor="background1"/>
          <w:sz w:val="48"/>
          <w:szCs w:val="48"/>
        </w:rPr>
      </w:pPr>
    </w:p>
    <w:p w:rsidR="00B94CA5" w:rsidRDefault="00B94CA5" w:rsidP="00B94CA5">
      <w:pPr>
        <w:pStyle w:val="Heading1"/>
      </w:pPr>
    </w:p>
    <w:p w:rsidR="00B94CA5" w:rsidRDefault="00B94CA5" w:rsidP="00B94CA5"/>
    <w:p w:rsidR="00A32AD0" w:rsidRDefault="00CE6276" w:rsidP="00DE791F">
      <w:pPr>
        <w:jc w:val="both"/>
        <w:rPr>
          <w:rFonts w:ascii="Arial Narrow" w:hAnsi="Arial Narrow"/>
          <w:sz w:val="24"/>
          <w:szCs w:val="24"/>
        </w:rPr>
      </w:pPr>
      <w:r w:rsidRPr="00B94CA5">
        <w:rPr>
          <w:rFonts w:ascii="Arial Narrow" w:hAnsi="Arial Narrow"/>
          <w:sz w:val="24"/>
          <w:szCs w:val="24"/>
        </w:rPr>
        <w:t>Following the October 2015 GWC Meeting in Nairobi, it was agreed that a Markets Technical Working Group (TWiG) should be set up to</w:t>
      </w:r>
      <w:r w:rsidR="00F75977" w:rsidRPr="00B94CA5">
        <w:rPr>
          <w:rFonts w:ascii="Arial Narrow" w:hAnsi="Arial Narrow"/>
          <w:sz w:val="24"/>
          <w:szCs w:val="24"/>
        </w:rPr>
        <w:t xml:space="preserve"> strengthen the WASH cluster members’ understanding of and engagement with market-based approaches, as well as to explore and build evidence on markets-based approaches in WASH. </w:t>
      </w:r>
      <w:r w:rsidRPr="00B94CA5">
        <w:rPr>
          <w:rFonts w:ascii="Arial Narrow" w:hAnsi="Arial Narrow"/>
          <w:sz w:val="24"/>
          <w:szCs w:val="24"/>
        </w:rPr>
        <w:t xml:space="preserve"> </w:t>
      </w:r>
      <w:r w:rsidR="00B94CA5">
        <w:rPr>
          <w:rFonts w:ascii="Arial Narrow" w:hAnsi="Arial Narrow"/>
          <w:sz w:val="24"/>
          <w:szCs w:val="24"/>
        </w:rPr>
        <w:t>T</w:t>
      </w:r>
      <w:bookmarkStart w:id="0" w:name="_GoBack"/>
      <w:bookmarkEnd w:id="0"/>
      <w:r w:rsidR="00B94CA5">
        <w:rPr>
          <w:rFonts w:ascii="Arial Narrow" w:hAnsi="Arial Narrow"/>
          <w:sz w:val="24"/>
          <w:szCs w:val="24"/>
        </w:rPr>
        <w:t xml:space="preserve">he below outlines the guidelines and Terms of Reference for the TwiG, which will be reviewed and validated in the first TwiG meeting. </w:t>
      </w:r>
    </w:p>
    <w:p w:rsidR="00B94CA5" w:rsidRDefault="00B94CA5" w:rsidP="00B94CA5">
      <w:pPr>
        <w:widowControl w:val="0"/>
        <w:autoSpaceDE w:val="0"/>
        <w:autoSpaceDN w:val="0"/>
        <w:adjustRightInd w:val="0"/>
        <w:spacing w:after="120" w:line="240" w:lineRule="auto"/>
        <w:jc w:val="both"/>
        <w:rPr>
          <w:rFonts w:ascii="Arial Narrow" w:hAnsi="Arial Narrow" w:cs="Arial"/>
          <w:b/>
          <w:sz w:val="24"/>
          <w:szCs w:val="24"/>
        </w:rPr>
      </w:pPr>
    </w:p>
    <w:p w:rsidR="00B94CA5" w:rsidRPr="00B94CA5" w:rsidRDefault="00B94CA5" w:rsidP="00B94CA5">
      <w:pPr>
        <w:widowControl w:val="0"/>
        <w:autoSpaceDE w:val="0"/>
        <w:autoSpaceDN w:val="0"/>
        <w:adjustRightInd w:val="0"/>
        <w:spacing w:after="120" w:line="240" w:lineRule="auto"/>
        <w:jc w:val="both"/>
        <w:rPr>
          <w:rFonts w:ascii="Arial Narrow" w:hAnsi="Arial Narrow" w:cs="Arial"/>
          <w:b/>
          <w:sz w:val="24"/>
          <w:szCs w:val="24"/>
        </w:rPr>
      </w:pPr>
      <w:r w:rsidRPr="00B94CA5">
        <w:rPr>
          <w:rFonts w:ascii="Arial Narrow" w:hAnsi="Arial Narrow" w:cs="Arial"/>
          <w:b/>
          <w:sz w:val="24"/>
          <w:szCs w:val="24"/>
        </w:rPr>
        <w:t>Membership:</w:t>
      </w:r>
    </w:p>
    <w:p w:rsidR="00B94CA5" w:rsidRPr="00B94CA5" w:rsidRDefault="00B94CA5" w:rsidP="00B94CA5">
      <w:pPr>
        <w:widowControl w:val="0"/>
        <w:autoSpaceDE w:val="0"/>
        <w:autoSpaceDN w:val="0"/>
        <w:adjustRightInd w:val="0"/>
        <w:spacing w:after="0" w:line="240" w:lineRule="auto"/>
        <w:ind w:left="360"/>
        <w:jc w:val="both"/>
        <w:rPr>
          <w:rFonts w:ascii="Arial Narrow" w:hAnsi="Arial Narrow" w:cs="Arial"/>
          <w:sz w:val="24"/>
          <w:szCs w:val="24"/>
        </w:rPr>
      </w:pPr>
      <w:r w:rsidRPr="00B94CA5">
        <w:rPr>
          <w:rFonts w:ascii="Arial Narrow" w:hAnsi="Arial Narrow" w:cs="Arial"/>
          <w:sz w:val="24"/>
          <w:szCs w:val="24"/>
        </w:rPr>
        <w:t>The TWiG should comprise of between five and ten individuals who represent a variety of organizations and skill sets in relation to market based responses. The Markets TWiG will be led by ___________</w:t>
      </w:r>
      <w:r>
        <w:rPr>
          <w:rFonts w:ascii="Arial Narrow" w:hAnsi="Arial Narrow" w:cs="Arial"/>
          <w:sz w:val="24"/>
          <w:szCs w:val="24"/>
        </w:rPr>
        <w:t xml:space="preserve"> (to be selected through expression of interests)</w:t>
      </w:r>
      <w:r w:rsidRPr="00B94CA5">
        <w:rPr>
          <w:rFonts w:ascii="Arial Narrow" w:hAnsi="Arial Narrow" w:cs="Arial"/>
          <w:sz w:val="24"/>
          <w:szCs w:val="24"/>
        </w:rPr>
        <w:t xml:space="preserve"> who will also be responsible for chairing the TWiG. The majority of members should initially come from NGOs (3-6), UN agencies (1), Donors (2) and IOs (1), but relevant private and public sector actors as well as academic or research representatives will also be encouraged to participate. The final composition of this TWiG will be reviewed and agreed by the SAG. </w:t>
      </w:r>
    </w:p>
    <w:p w:rsidR="00B94CA5" w:rsidRPr="00B94CA5" w:rsidRDefault="00B94CA5" w:rsidP="00B94CA5">
      <w:pPr>
        <w:widowControl w:val="0"/>
        <w:autoSpaceDE w:val="0"/>
        <w:autoSpaceDN w:val="0"/>
        <w:adjustRightInd w:val="0"/>
        <w:spacing w:after="0" w:line="240" w:lineRule="auto"/>
        <w:ind w:left="360"/>
        <w:jc w:val="both"/>
        <w:rPr>
          <w:rFonts w:ascii="Arial Narrow" w:hAnsi="Arial Narrow" w:cs="Arial"/>
          <w:sz w:val="24"/>
          <w:szCs w:val="24"/>
        </w:rPr>
      </w:pPr>
    </w:p>
    <w:p w:rsidR="00B94CA5" w:rsidRPr="00B94CA5" w:rsidRDefault="00B94CA5" w:rsidP="00B94CA5">
      <w:pPr>
        <w:widowControl w:val="0"/>
        <w:autoSpaceDE w:val="0"/>
        <w:autoSpaceDN w:val="0"/>
        <w:adjustRightInd w:val="0"/>
        <w:spacing w:after="0" w:line="240" w:lineRule="auto"/>
        <w:ind w:left="360"/>
        <w:jc w:val="both"/>
        <w:rPr>
          <w:rFonts w:ascii="Arial Narrow" w:hAnsi="Arial Narrow" w:cs="Arial"/>
          <w:sz w:val="24"/>
          <w:szCs w:val="24"/>
        </w:rPr>
      </w:pPr>
      <w:r w:rsidRPr="00B94CA5">
        <w:rPr>
          <w:rFonts w:ascii="Arial Narrow" w:hAnsi="Arial Narrow" w:cs="Arial"/>
          <w:sz w:val="24"/>
          <w:szCs w:val="24"/>
        </w:rPr>
        <w:t>Beyond the TWiG membership, it is expected that relevant individuals or institutions will be invited to contribute on specific aspects of the TWiG workplan as and when needed.</w:t>
      </w:r>
    </w:p>
    <w:p w:rsidR="00B94CA5" w:rsidRPr="00B94CA5" w:rsidRDefault="00B94CA5" w:rsidP="00B94CA5">
      <w:pPr>
        <w:widowControl w:val="0"/>
        <w:autoSpaceDE w:val="0"/>
        <w:autoSpaceDN w:val="0"/>
        <w:adjustRightInd w:val="0"/>
        <w:spacing w:after="0" w:line="240" w:lineRule="auto"/>
        <w:jc w:val="both"/>
        <w:rPr>
          <w:rFonts w:ascii="Arial Narrow" w:hAnsi="Arial Narrow" w:cs="Arial"/>
          <w:b/>
          <w:sz w:val="24"/>
          <w:szCs w:val="24"/>
        </w:rPr>
      </w:pPr>
    </w:p>
    <w:p w:rsidR="00B94CA5" w:rsidRPr="00B94CA5" w:rsidRDefault="00B94CA5" w:rsidP="00B94CA5">
      <w:pPr>
        <w:widowControl w:val="0"/>
        <w:autoSpaceDE w:val="0"/>
        <w:autoSpaceDN w:val="0"/>
        <w:adjustRightInd w:val="0"/>
        <w:spacing w:after="0" w:line="240" w:lineRule="auto"/>
        <w:jc w:val="both"/>
        <w:rPr>
          <w:rFonts w:ascii="Arial Narrow" w:hAnsi="Arial Narrow" w:cs="Arial"/>
          <w:b/>
          <w:sz w:val="24"/>
          <w:szCs w:val="24"/>
        </w:rPr>
      </w:pPr>
    </w:p>
    <w:p w:rsidR="00B94CA5" w:rsidRPr="00B94CA5" w:rsidRDefault="00B94CA5" w:rsidP="00B94CA5">
      <w:pPr>
        <w:widowControl w:val="0"/>
        <w:autoSpaceDE w:val="0"/>
        <w:autoSpaceDN w:val="0"/>
        <w:adjustRightInd w:val="0"/>
        <w:spacing w:after="120" w:line="240" w:lineRule="auto"/>
        <w:jc w:val="both"/>
        <w:rPr>
          <w:rFonts w:ascii="Arial Narrow" w:hAnsi="Arial Narrow" w:cs="Arial"/>
          <w:sz w:val="24"/>
          <w:szCs w:val="24"/>
        </w:rPr>
      </w:pPr>
      <w:r w:rsidRPr="00B94CA5">
        <w:rPr>
          <w:rFonts w:ascii="Arial Narrow" w:hAnsi="Arial Narrow" w:cs="Arial"/>
          <w:b/>
          <w:sz w:val="24"/>
          <w:szCs w:val="24"/>
        </w:rPr>
        <w:t>Duration</w:t>
      </w:r>
      <w:r w:rsidRPr="00B94CA5">
        <w:rPr>
          <w:rFonts w:ascii="Arial Narrow" w:hAnsi="Arial Narrow" w:cs="Arial"/>
          <w:sz w:val="24"/>
          <w:szCs w:val="24"/>
        </w:rPr>
        <w:t>:</w:t>
      </w:r>
    </w:p>
    <w:p w:rsidR="00B94CA5" w:rsidRPr="00B94CA5" w:rsidRDefault="00B94CA5" w:rsidP="00B94CA5">
      <w:pPr>
        <w:widowControl w:val="0"/>
        <w:autoSpaceDE w:val="0"/>
        <w:autoSpaceDN w:val="0"/>
        <w:adjustRightInd w:val="0"/>
        <w:spacing w:after="0" w:line="240" w:lineRule="auto"/>
        <w:ind w:left="360"/>
        <w:jc w:val="both"/>
        <w:rPr>
          <w:rFonts w:ascii="Arial Narrow" w:hAnsi="Arial Narrow" w:cs="Arial"/>
          <w:sz w:val="24"/>
          <w:szCs w:val="24"/>
        </w:rPr>
      </w:pPr>
      <w:r w:rsidRPr="00B94CA5">
        <w:rPr>
          <w:rFonts w:ascii="Arial Narrow" w:hAnsi="Arial Narrow" w:cs="Arial"/>
          <w:sz w:val="24"/>
          <w:szCs w:val="24"/>
        </w:rPr>
        <w:t xml:space="preserve">The TwiG will initially commit to a 1 year work plan and duration for activities and participation. The TWiG will commence by agreeing on a workplan, key activities and timeframe. By which time agreed outputs, according to the work plan and validated by the SAG. After one year, the TWiG will be reviewed by the SAG for progress against the workplan, to measure achievements and review need for continuation. </w:t>
      </w:r>
    </w:p>
    <w:p w:rsidR="00B94CA5" w:rsidRPr="00B94CA5" w:rsidRDefault="00B94CA5" w:rsidP="00B94CA5">
      <w:pPr>
        <w:widowControl w:val="0"/>
        <w:autoSpaceDE w:val="0"/>
        <w:autoSpaceDN w:val="0"/>
        <w:adjustRightInd w:val="0"/>
        <w:spacing w:after="0" w:line="240" w:lineRule="auto"/>
        <w:jc w:val="both"/>
        <w:rPr>
          <w:rFonts w:ascii="Arial Narrow" w:hAnsi="Arial Narrow" w:cs="Arial"/>
          <w:b/>
          <w:sz w:val="24"/>
          <w:szCs w:val="24"/>
        </w:rPr>
      </w:pPr>
    </w:p>
    <w:p w:rsidR="00C873BD" w:rsidRPr="00B94CA5" w:rsidRDefault="00C873BD" w:rsidP="00C873BD">
      <w:pPr>
        <w:spacing w:after="120"/>
        <w:jc w:val="both"/>
        <w:rPr>
          <w:rFonts w:ascii="Arial Narrow" w:hAnsi="Arial Narrow"/>
          <w:b/>
          <w:sz w:val="24"/>
          <w:szCs w:val="24"/>
        </w:rPr>
      </w:pPr>
      <w:r w:rsidRPr="00B94CA5">
        <w:rPr>
          <w:rFonts w:ascii="Arial Narrow" w:hAnsi="Arial Narrow"/>
          <w:b/>
          <w:sz w:val="24"/>
          <w:szCs w:val="24"/>
        </w:rPr>
        <w:t xml:space="preserve">Responsibilities: </w:t>
      </w:r>
    </w:p>
    <w:p w:rsidR="00C873BD" w:rsidRPr="00B94CA5" w:rsidRDefault="00C873BD" w:rsidP="00C873BD">
      <w:pPr>
        <w:pStyle w:val="ListParagraph"/>
        <w:numPr>
          <w:ilvl w:val="0"/>
          <w:numId w:val="27"/>
        </w:numPr>
        <w:jc w:val="both"/>
        <w:rPr>
          <w:rFonts w:ascii="Arial Narrow" w:hAnsi="Arial Narrow"/>
          <w:sz w:val="24"/>
          <w:szCs w:val="24"/>
        </w:rPr>
      </w:pPr>
      <w:r w:rsidRPr="00B94CA5">
        <w:rPr>
          <w:rFonts w:ascii="Arial Narrow" w:hAnsi="Arial Narrow"/>
          <w:sz w:val="24"/>
          <w:szCs w:val="24"/>
        </w:rPr>
        <w:t>Support and Facilitate resource raising for knowledge and capacity building opportunities, data and evidence gathering and documentation of markets-based approaches “added value” to humanitarian WASH responses</w:t>
      </w:r>
    </w:p>
    <w:p w:rsidR="00C873BD" w:rsidRPr="00B94CA5" w:rsidRDefault="00C873BD" w:rsidP="00C873BD">
      <w:pPr>
        <w:pStyle w:val="ListParagraph"/>
        <w:numPr>
          <w:ilvl w:val="0"/>
          <w:numId w:val="27"/>
        </w:numPr>
        <w:jc w:val="both"/>
        <w:rPr>
          <w:rFonts w:ascii="Arial Narrow" w:hAnsi="Arial Narrow"/>
          <w:sz w:val="24"/>
          <w:szCs w:val="24"/>
        </w:rPr>
      </w:pPr>
      <w:r w:rsidRPr="00B94CA5">
        <w:rPr>
          <w:rFonts w:ascii="Arial Narrow" w:hAnsi="Arial Narrow"/>
          <w:sz w:val="24"/>
          <w:szCs w:val="24"/>
        </w:rPr>
        <w:t xml:space="preserve">Identification of potential partnership and modalities to improve market based WASH responses   capacities </w:t>
      </w:r>
    </w:p>
    <w:p w:rsidR="00C873BD" w:rsidRPr="00B94CA5" w:rsidRDefault="00C873BD" w:rsidP="00C873BD">
      <w:pPr>
        <w:pStyle w:val="ListParagraph"/>
        <w:numPr>
          <w:ilvl w:val="0"/>
          <w:numId w:val="27"/>
        </w:numPr>
        <w:spacing w:line="240" w:lineRule="auto"/>
        <w:jc w:val="both"/>
        <w:rPr>
          <w:rFonts w:ascii="Arial Narrow" w:hAnsi="Arial Narrow"/>
          <w:sz w:val="24"/>
          <w:szCs w:val="24"/>
        </w:rPr>
      </w:pPr>
      <w:r w:rsidRPr="00B94CA5">
        <w:rPr>
          <w:rFonts w:ascii="Arial Narrow" w:hAnsi="Arial Narrow"/>
          <w:sz w:val="24"/>
          <w:szCs w:val="24"/>
        </w:rPr>
        <w:t>Creation of a work plan based on agreed prioritized needs</w:t>
      </w:r>
    </w:p>
    <w:p w:rsidR="00C873BD" w:rsidRPr="00B94CA5" w:rsidRDefault="00C873BD" w:rsidP="00C873BD">
      <w:pPr>
        <w:pStyle w:val="ListParagraph"/>
        <w:numPr>
          <w:ilvl w:val="0"/>
          <w:numId w:val="27"/>
        </w:numPr>
        <w:spacing w:line="240" w:lineRule="auto"/>
        <w:jc w:val="both"/>
        <w:rPr>
          <w:rFonts w:ascii="Arial Narrow" w:hAnsi="Arial Narrow"/>
          <w:sz w:val="24"/>
          <w:szCs w:val="24"/>
        </w:rPr>
      </w:pPr>
      <w:r w:rsidRPr="00B94CA5">
        <w:rPr>
          <w:rFonts w:ascii="Arial Narrow" w:hAnsi="Arial Narrow"/>
          <w:sz w:val="24"/>
          <w:szCs w:val="24"/>
        </w:rPr>
        <w:t>Review, advise and oversee when possible the implementation of activities related to the Markets TWiG objectives and activities</w:t>
      </w:r>
    </w:p>
    <w:p w:rsidR="00C873BD" w:rsidRPr="00B94CA5" w:rsidRDefault="00C873BD" w:rsidP="00C873BD">
      <w:pPr>
        <w:pStyle w:val="ListParagraph"/>
        <w:numPr>
          <w:ilvl w:val="0"/>
          <w:numId w:val="27"/>
        </w:numPr>
        <w:spacing w:line="240" w:lineRule="auto"/>
        <w:jc w:val="both"/>
        <w:rPr>
          <w:rFonts w:ascii="Arial Narrow" w:hAnsi="Arial Narrow"/>
          <w:sz w:val="24"/>
          <w:szCs w:val="24"/>
        </w:rPr>
      </w:pPr>
      <w:r w:rsidRPr="00B94CA5">
        <w:rPr>
          <w:rFonts w:ascii="Arial Narrow" w:hAnsi="Arial Narrow"/>
          <w:sz w:val="24"/>
          <w:szCs w:val="24"/>
        </w:rPr>
        <w:t>Review and approve new guidance and tools developed as part of the TWiG workplan</w:t>
      </w:r>
    </w:p>
    <w:p w:rsidR="00C873BD" w:rsidRPr="00B94CA5" w:rsidRDefault="00C873BD" w:rsidP="00C873BD">
      <w:pPr>
        <w:pStyle w:val="ListParagraph"/>
        <w:numPr>
          <w:ilvl w:val="0"/>
          <w:numId w:val="27"/>
        </w:numPr>
        <w:spacing w:line="240" w:lineRule="auto"/>
        <w:jc w:val="both"/>
        <w:rPr>
          <w:rFonts w:ascii="Arial Narrow" w:hAnsi="Arial Narrow"/>
          <w:sz w:val="24"/>
          <w:szCs w:val="24"/>
        </w:rPr>
      </w:pPr>
      <w:r w:rsidRPr="00B94CA5">
        <w:rPr>
          <w:rFonts w:ascii="Arial Narrow" w:hAnsi="Arial Narrow"/>
          <w:sz w:val="24"/>
          <w:szCs w:val="24"/>
        </w:rPr>
        <w:t>Ensure internal sharing and ease of access of market based WASH  reports and related tools</w:t>
      </w:r>
    </w:p>
    <w:p w:rsidR="00C873BD" w:rsidRPr="00B94CA5" w:rsidRDefault="00C873BD" w:rsidP="00C873BD">
      <w:pPr>
        <w:pStyle w:val="ListParagraph"/>
        <w:numPr>
          <w:ilvl w:val="0"/>
          <w:numId w:val="27"/>
        </w:numPr>
        <w:spacing w:line="240" w:lineRule="auto"/>
        <w:jc w:val="both"/>
        <w:rPr>
          <w:rFonts w:ascii="Arial Narrow" w:hAnsi="Arial Narrow"/>
          <w:sz w:val="24"/>
          <w:szCs w:val="24"/>
        </w:rPr>
      </w:pPr>
      <w:r w:rsidRPr="00B94CA5">
        <w:rPr>
          <w:rFonts w:ascii="Arial Narrow" w:hAnsi="Arial Narrow"/>
          <w:sz w:val="24"/>
          <w:szCs w:val="24"/>
        </w:rPr>
        <w:t>Provide recommendations for mainstreaming cross-cutting and multi-sectoral issues in the markets-integrated WASH efforts</w:t>
      </w:r>
    </w:p>
    <w:p w:rsidR="00C873BD" w:rsidRPr="00B94CA5" w:rsidRDefault="00C873BD" w:rsidP="00C873BD">
      <w:pPr>
        <w:pStyle w:val="ListParagraph"/>
        <w:numPr>
          <w:ilvl w:val="0"/>
          <w:numId w:val="27"/>
        </w:numPr>
        <w:spacing w:line="240" w:lineRule="auto"/>
        <w:jc w:val="both"/>
        <w:rPr>
          <w:rFonts w:ascii="Arial Narrow" w:hAnsi="Arial Narrow"/>
          <w:sz w:val="24"/>
          <w:szCs w:val="24"/>
        </w:rPr>
      </w:pPr>
      <w:r w:rsidRPr="00B94CA5">
        <w:rPr>
          <w:rFonts w:ascii="Arial Narrow" w:hAnsi="Arial Narrow"/>
          <w:sz w:val="24"/>
          <w:szCs w:val="24"/>
        </w:rPr>
        <w:t>Develop key practices and approaches to ensure that evidence gathering and findings are provided in formats able to effectively inform strategic planning</w:t>
      </w:r>
    </w:p>
    <w:p w:rsidR="00C873BD" w:rsidRPr="00B94CA5" w:rsidRDefault="00C873BD" w:rsidP="00C873BD">
      <w:pPr>
        <w:pStyle w:val="ListParagraph"/>
        <w:numPr>
          <w:ilvl w:val="0"/>
          <w:numId w:val="27"/>
        </w:numPr>
        <w:spacing w:line="240" w:lineRule="auto"/>
        <w:jc w:val="both"/>
        <w:rPr>
          <w:rFonts w:ascii="Arial Narrow" w:hAnsi="Arial Narrow"/>
          <w:sz w:val="24"/>
          <w:szCs w:val="24"/>
        </w:rPr>
      </w:pPr>
      <w:r w:rsidRPr="00B94CA5">
        <w:rPr>
          <w:rFonts w:ascii="Arial Narrow" w:hAnsi="Arial Narrow"/>
          <w:sz w:val="24"/>
          <w:szCs w:val="24"/>
        </w:rPr>
        <w:t>Identify adequate indicators to better capture evidence and learning</w:t>
      </w:r>
    </w:p>
    <w:p w:rsidR="00C873BD" w:rsidRPr="00B94CA5" w:rsidRDefault="00C873BD" w:rsidP="00C873BD">
      <w:pPr>
        <w:pStyle w:val="ListParagraph"/>
        <w:numPr>
          <w:ilvl w:val="0"/>
          <w:numId w:val="27"/>
        </w:numPr>
        <w:jc w:val="both"/>
        <w:rPr>
          <w:rFonts w:ascii="Arial Narrow" w:hAnsi="Arial Narrow"/>
          <w:sz w:val="24"/>
          <w:szCs w:val="24"/>
        </w:rPr>
      </w:pPr>
      <w:r w:rsidRPr="00B94CA5">
        <w:rPr>
          <w:rFonts w:ascii="Arial Narrow" w:hAnsi="Arial Narrow"/>
          <w:sz w:val="24"/>
          <w:szCs w:val="24"/>
        </w:rPr>
        <w:t xml:space="preserve">Actively participating in the implementation of activities, including: </w:t>
      </w:r>
    </w:p>
    <w:p w:rsidR="00C873BD" w:rsidRPr="00B94CA5" w:rsidRDefault="00C873BD" w:rsidP="00C873BD">
      <w:pPr>
        <w:pStyle w:val="ListParagraph"/>
        <w:numPr>
          <w:ilvl w:val="0"/>
          <w:numId w:val="27"/>
        </w:numPr>
        <w:jc w:val="both"/>
        <w:rPr>
          <w:rFonts w:ascii="Arial Narrow" w:hAnsi="Arial Narrow"/>
          <w:sz w:val="24"/>
          <w:szCs w:val="24"/>
        </w:rPr>
      </w:pPr>
      <w:r w:rsidRPr="00B94CA5">
        <w:rPr>
          <w:rFonts w:ascii="Arial Narrow" w:hAnsi="Arial Narrow"/>
          <w:sz w:val="24"/>
          <w:szCs w:val="24"/>
        </w:rPr>
        <w:t xml:space="preserve">Promote within their own agency Field-testing and piloting of existing and new markets-based tools for further verification and refinement </w:t>
      </w:r>
    </w:p>
    <w:p w:rsidR="00C873BD" w:rsidRPr="00B94CA5" w:rsidRDefault="00C873BD" w:rsidP="00C873BD">
      <w:pPr>
        <w:pStyle w:val="ListParagraph"/>
        <w:numPr>
          <w:ilvl w:val="0"/>
          <w:numId w:val="27"/>
        </w:numPr>
        <w:jc w:val="both"/>
        <w:rPr>
          <w:rFonts w:ascii="Arial Narrow" w:hAnsi="Arial Narrow"/>
          <w:sz w:val="24"/>
          <w:szCs w:val="24"/>
        </w:rPr>
      </w:pPr>
      <w:r w:rsidRPr="00B94CA5">
        <w:rPr>
          <w:rFonts w:ascii="Arial Narrow" w:hAnsi="Arial Narrow"/>
          <w:sz w:val="24"/>
          <w:szCs w:val="24"/>
        </w:rPr>
        <w:t>Consider Linkages with other clusters, in particular food security and livelihoods, logistics, gender and protection, nutrition, health, shelter and other joint/harmonized initiatives as well as other Technical Working groups such as Assessment TWiG</w:t>
      </w:r>
    </w:p>
    <w:p w:rsidR="00C873BD" w:rsidRPr="00B94CA5" w:rsidRDefault="00C873BD" w:rsidP="00C873BD">
      <w:pPr>
        <w:pStyle w:val="ListParagraph"/>
        <w:numPr>
          <w:ilvl w:val="0"/>
          <w:numId w:val="27"/>
        </w:numPr>
        <w:jc w:val="both"/>
        <w:rPr>
          <w:rFonts w:ascii="Arial Narrow" w:hAnsi="Arial Narrow"/>
          <w:sz w:val="24"/>
          <w:szCs w:val="24"/>
        </w:rPr>
      </w:pPr>
      <w:r w:rsidRPr="00B94CA5">
        <w:rPr>
          <w:rFonts w:ascii="Arial Narrow" w:hAnsi="Arial Narrow"/>
          <w:sz w:val="24"/>
          <w:szCs w:val="24"/>
        </w:rPr>
        <w:t>Support the Global WASH Cluster in promoting standards and tools within member agencies; disseminate, promote the use of and explain the use of strategic markets tools applicable to humanitarian WASH responses</w:t>
      </w:r>
    </w:p>
    <w:p w:rsidR="00C873BD" w:rsidRPr="00B94CA5" w:rsidRDefault="00C873BD" w:rsidP="00C873BD">
      <w:pPr>
        <w:pStyle w:val="ListParagraph"/>
        <w:numPr>
          <w:ilvl w:val="0"/>
          <w:numId w:val="27"/>
        </w:numPr>
        <w:jc w:val="both"/>
        <w:rPr>
          <w:rFonts w:ascii="Arial Narrow" w:hAnsi="Arial Narrow"/>
          <w:sz w:val="24"/>
          <w:szCs w:val="24"/>
        </w:rPr>
      </w:pPr>
      <w:r w:rsidRPr="00B94CA5">
        <w:rPr>
          <w:rFonts w:ascii="Arial Narrow" w:hAnsi="Arial Narrow"/>
          <w:sz w:val="24"/>
          <w:szCs w:val="24"/>
        </w:rPr>
        <w:t>Identify and recommend capacity development needs for the cluster members at global and field level;</w:t>
      </w:r>
    </w:p>
    <w:p w:rsidR="00C873BD" w:rsidRPr="00B94CA5" w:rsidRDefault="00C873BD" w:rsidP="00C873BD">
      <w:pPr>
        <w:pStyle w:val="ListParagraph"/>
        <w:numPr>
          <w:ilvl w:val="0"/>
          <w:numId w:val="27"/>
        </w:numPr>
        <w:jc w:val="both"/>
        <w:rPr>
          <w:rFonts w:ascii="Arial Narrow" w:hAnsi="Arial Narrow"/>
          <w:sz w:val="24"/>
          <w:szCs w:val="24"/>
        </w:rPr>
      </w:pPr>
      <w:r w:rsidRPr="00B94CA5">
        <w:rPr>
          <w:rFonts w:ascii="Arial Narrow" w:hAnsi="Arial Narrow"/>
          <w:sz w:val="24"/>
          <w:szCs w:val="24"/>
        </w:rPr>
        <w:t xml:space="preserve">Identify capacity building options relevant to WASH actors in market based responses </w:t>
      </w:r>
    </w:p>
    <w:p w:rsidR="00C873BD" w:rsidRPr="00B94CA5" w:rsidRDefault="00C873BD" w:rsidP="00C873BD">
      <w:pPr>
        <w:pStyle w:val="ListParagraph"/>
        <w:numPr>
          <w:ilvl w:val="0"/>
          <w:numId w:val="27"/>
        </w:numPr>
        <w:jc w:val="both"/>
        <w:rPr>
          <w:rFonts w:ascii="Arial Narrow" w:hAnsi="Arial Narrow"/>
          <w:sz w:val="24"/>
          <w:szCs w:val="24"/>
        </w:rPr>
      </w:pPr>
      <w:r w:rsidRPr="00B94CA5">
        <w:rPr>
          <w:rFonts w:ascii="Arial Narrow" w:hAnsi="Arial Narrow"/>
          <w:sz w:val="24"/>
          <w:szCs w:val="24"/>
        </w:rPr>
        <w:t xml:space="preserve">Support the develop technical briefing, case studies and lessons learnt on Market based WASH responses to support good practices </w:t>
      </w:r>
    </w:p>
    <w:p w:rsidR="00C873BD" w:rsidRPr="00B94CA5" w:rsidRDefault="00C873BD" w:rsidP="00C873BD">
      <w:pPr>
        <w:spacing w:line="240" w:lineRule="auto"/>
        <w:jc w:val="both"/>
        <w:rPr>
          <w:rFonts w:ascii="Arial Narrow" w:hAnsi="Arial Narrow"/>
          <w:sz w:val="24"/>
          <w:szCs w:val="24"/>
        </w:rPr>
      </w:pPr>
    </w:p>
    <w:p w:rsidR="008E5844" w:rsidRPr="00B94CA5" w:rsidRDefault="008E5844" w:rsidP="00A32AD0">
      <w:pPr>
        <w:widowControl w:val="0"/>
        <w:autoSpaceDE w:val="0"/>
        <w:autoSpaceDN w:val="0"/>
        <w:adjustRightInd w:val="0"/>
        <w:spacing w:after="0" w:line="240" w:lineRule="auto"/>
        <w:jc w:val="both"/>
        <w:rPr>
          <w:rFonts w:ascii="Arial Narrow" w:hAnsi="Arial Narrow" w:cs="Arial"/>
          <w:b/>
          <w:sz w:val="24"/>
          <w:szCs w:val="24"/>
        </w:rPr>
      </w:pPr>
    </w:p>
    <w:p w:rsidR="009614B2" w:rsidRPr="00B94CA5" w:rsidRDefault="00A32AD0" w:rsidP="009614B2">
      <w:pPr>
        <w:widowControl w:val="0"/>
        <w:autoSpaceDE w:val="0"/>
        <w:autoSpaceDN w:val="0"/>
        <w:adjustRightInd w:val="0"/>
        <w:spacing w:after="120" w:line="240" w:lineRule="auto"/>
        <w:jc w:val="both"/>
        <w:rPr>
          <w:rFonts w:ascii="Arial Narrow" w:hAnsi="Arial Narrow" w:cs="Arial"/>
          <w:sz w:val="24"/>
          <w:szCs w:val="24"/>
        </w:rPr>
      </w:pPr>
      <w:r w:rsidRPr="00B94CA5">
        <w:rPr>
          <w:rFonts w:ascii="Arial Narrow" w:hAnsi="Arial Narrow" w:cs="Arial"/>
          <w:b/>
          <w:sz w:val="24"/>
          <w:szCs w:val="24"/>
        </w:rPr>
        <w:t>Work Modalities</w:t>
      </w:r>
      <w:r w:rsidRPr="00B94CA5">
        <w:rPr>
          <w:rFonts w:ascii="Arial Narrow" w:hAnsi="Arial Narrow" w:cs="Arial"/>
          <w:sz w:val="24"/>
          <w:szCs w:val="24"/>
        </w:rPr>
        <w:t>:</w:t>
      </w:r>
    </w:p>
    <w:p w:rsidR="00A32AD0" w:rsidRPr="00B94CA5" w:rsidRDefault="00A32AD0" w:rsidP="00A32AD0">
      <w:pPr>
        <w:pStyle w:val="ListParagraph"/>
        <w:widowControl w:val="0"/>
        <w:numPr>
          <w:ilvl w:val="0"/>
          <w:numId w:val="12"/>
        </w:numPr>
        <w:autoSpaceDE w:val="0"/>
        <w:autoSpaceDN w:val="0"/>
        <w:adjustRightInd w:val="0"/>
        <w:spacing w:after="0" w:line="240" w:lineRule="auto"/>
        <w:jc w:val="both"/>
        <w:rPr>
          <w:rFonts w:ascii="Arial Narrow" w:hAnsi="Arial Narrow" w:cs="Arial"/>
          <w:sz w:val="24"/>
          <w:szCs w:val="24"/>
        </w:rPr>
      </w:pPr>
      <w:r w:rsidRPr="00B94CA5">
        <w:rPr>
          <w:rFonts w:ascii="Arial Narrow" w:hAnsi="Arial Narrow" w:cs="Arial"/>
          <w:sz w:val="24"/>
          <w:szCs w:val="24"/>
        </w:rPr>
        <w:t>TWiG meetings should occur at least once every 1-2 months or ad hoc in case of specific issues. Meetings will be held virtually and minuted by members on a rotating basis.</w:t>
      </w:r>
    </w:p>
    <w:p w:rsidR="00A32AD0" w:rsidRPr="00B94CA5" w:rsidRDefault="00A32AD0" w:rsidP="00A32AD0">
      <w:pPr>
        <w:pStyle w:val="ListParagraph"/>
        <w:widowControl w:val="0"/>
        <w:numPr>
          <w:ilvl w:val="0"/>
          <w:numId w:val="12"/>
        </w:numPr>
        <w:autoSpaceDE w:val="0"/>
        <w:autoSpaceDN w:val="0"/>
        <w:adjustRightInd w:val="0"/>
        <w:spacing w:after="0" w:line="240" w:lineRule="auto"/>
        <w:jc w:val="both"/>
        <w:rPr>
          <w:rFonts w:ascii="Arial Narrow" w:hAnsi="Arial Narrow" w:cs="Arial"/>
          <w:sz w:val="24"/>
          <w:szCs w:val="24"/>
        </w:rPr>
      </w:pPr>
      <w:r w:rsidRPr="00B94CA5">
        <w:rPr>
          <w:rFonts w:ascii="Arial Narrow" w:hAnsi="Arial Narrow" w:cs="Arial"/>
          <w:sz w:val="24"/>
          <w:szCs w:val="24"/>
        </w:rPr>
        <w:t>Commit up to 10 days of work a year to meet the TWiG responsibilities and outputs</w:t>
      </w:r>
    </w:p>
    <w:p w:rsidR="00A32AD0" w:rsidRPr="00B94CA5" w:rsidRDefault="00A32AD0" w:rsidP="00A32AD0">
      <w:pPr>
        <w:pStyle w:val="ListParagraph"/>
        <w:widowControl w:val="0"/>
        <w:numPr>
          <w:ilvl w:val="0"/>
          <w:numId w:val="12"/>
        </w:numPr>
        <w:autoSpaceDE w:val="0"/>
        <w:autoSpaceDN w:val="0"/>
        <w:adjustRightInd w:val="0"/>
        <w:spacing w:after="0" w:line="240" w:lineRule="auto"/>
        <w:jc w:val="both"/>
        <w:rPr>
          <w:rFonts w:ascii="Arial Narrow" w:hAnsi="Arial Narrow" w:cs="Arial"/>
          <w:sz w:val="24"/>
          <w:szCs w:val="24"/>
        </w:rPr>
      </w:pPr>
      <w:r w:rsidRPr="00B94CA5">
        <w:rPr>
          <w:rFonts w:ascii="Arial Narrow" w:hAnsi="Arial Narrow" w:cs="Arial"/>
          <w:sz w:val="24"/>
          <w:szCs w:val="24"/>
        </w:rPr>
        <w:t xml:space="preserve">Feedback on documents and emails exchanges in a timely fashion as and when required. </w:t>
      </w:r>
    </w:p>
    <w:p w:rsidR="00A32AD0" w:rsidRPr="00B94CA5" w:rsidRDefault="00A32AD0" w:rsidP="00A32AD0">
      <w:pPr>
        <w:widowControl w:val="0"/>
        <w:autoSpaceDE w:val="0"/>
        <w:autoSpaceDN w:val="0"/>
        <w:adjustRightInd w:val="0"/>
        <w:spacing w:after="0" w:line="240" w:lineRule="auto"/>
        <w:ind w:left="360"/>
        <w:jc w:val="both"/>
        <w:rPr>
          <w:rFonts w:ascii="Arial Narrow" w:hAnsi="Arial Narrow" w:cs="Arial"/>
          <w:sz w:val="24"/>
          <w:szCs w:val="24"/>
        </w:rPr>
      </w:pPr>
      <w:r w:rsidRPr="00B94CA5">
        <w:rPr>
          <w:rFonts w:ascii="Arial Narrow" w:hAnsi="Arial Narrow" w:cs="Arial"/>
          <w:sz w:val="24"/>
          <w:szCs w:val="24"/>
        </w:rPr>
        <w:t>Actively and consistently participate in meetings/teleconferences and provide timely contributions to TWiG workplan / outputs. Demonstrate a commitment to the TWiG by contributing to activities</w:t>
      </w:r>
    </w:p>
    <w:p w:rsidR="00A4369F" w:rsidRPr="00B94CA5" w:rsidRDefault="00A4369F" w:rsidP="00A32AD0">
      <w:pPr>
        <w:widowControl w:val="0"/>
        <w:autoSpaceDE w:val="0"/>
        <w:autoSpaceDN w:val="0"/>
        <w:adjustRightInd w:val="0"/>
        <w:spacing w:after="0" w:line="240" w:lineRule="auto"/>
        <w:ind w:left="360"/>
        <w:jc w:val="both"/>
        <w:rPr>
          <w:rFonts w:ascii="Arial Narrow" w:hAnsi="Arial Narrow" w:cs="Arial"/>
          <w:sz w:val="24"/>
          <w:szCs w:val="24"/>
        </w:rPr>
      </w:pPr>
      <w:r w:rsidRPr="00B94CA5">
        <w:rPr>
          <w:rFonts w:ascii="Arial Narrow" w:hAnsi="Arial Narrow" w:cs="Arial"/>
          <w:sz w:val="24"/>
          <w:szCs w:val="24"/>
        </w:rPr>
        <w:t xml:space="preserve">The TWiG will report on progress to the CAST on a regular basis, and to the wider Cluster group at relevant forums and times. </w:t>
      </w:r>
    </w:p>
    <w:p w:rsidR="009614B2" w:rsidRPr="00B94CA5" w:rsidRDefault="009614B2" w:rsidP="009614B2">
      <w:pPr>
        <w:spacing w:after="0"/>
        <w:jc w:val="both"/>
        <w:rPr>
          <w:rFonts w:ascii="Arial Narrow" w:hAnsi="Arial Narrow"/>
          <w:color w:val="1F497D"/>
          <w:sz w:val="24"/>
          <w:szCs w:val="24"/>
        </w:rPr>
      </w:pPr>
    </w:p>
    <w:p w:rsidR="008E5844" w:rsidRPr="00B94CA5" w:rsidRDefault="008E5844" w:rsidP="009614B2">
      <w:pPr>
        <w:spacing w:after="0"/>
        <w:jc w:val="both"/>
        <w:rPr>
          <w:rFonts w:ascii="Arial Narrow" w:hAnsi="Arial Narrow"/>
          <w:color w:val="1F497D"/>
          <w:sz w:val="24"/>
          <w:szCs w:val="24"/>
        </w:rPr>
      </w:pPr>
    </w:p>
    <w:p w:rsidR="00FB1161" w:rsidRPr="00B94CA5" w:rsidRDefault="007665A0" w:rsidP="00F16AA6">
      <w:pPr>
        <w:jc w:val="both"/>
        <w:rPr>
          <w:rFonts w:ascii="Arial Narrow" w:hAnsi="Arial Narrow"/>
          <w:b/>
          <w:sz w:val="24"/>
          <w:szCs w:val="24"/>
        </w:rPr>
      </w:pPr>
      <w:r w:rsidRPr="00B94CA5">
        <w:rPr>
          <w:rFonts w:ascii="Arial Narrow" w:hAnsi="Arial Narrow"/>
          <w:b/>
          <w:sz w:val="24"/>
          <w:szCs w:val="24"/>
        </w:rPr>
        <w:t xml:space="preserve">Guiding </w:t>
      </w:r>
      <w:r w:rsidR="00D55F1E" w:rsidRPr="00B94CA5">
        <w:rPr>
          <w:rFonts w:ascii="Arial Narrow" w:hAnsi="Arial Narrow"/>
          <w:b/>
          <w:sz w:val="24"/>
          <w:szCs w:val="24"/>
        </w:rPr>
        <w:t>Principles</w:t>
      </w:r>
    </w:p>
    <w:p w:rsidR="00647422" w:rsidRPr="00B94CA5" w:rsidRDefault="00647422" w:rsidP="00647422">
      <w:pPr>
        <w:pStyle w:val="ListParagraph"/>
        <w:numPr>
          <w:ilvl w:val="0"/>
          <w:numId w:val="18"/>
        </w:numPr>
        <w:spacing w:line="240" w:lineRule="auto"/>
        <w:jc w:val="both"/>
        <w:rPr>
          <w:rFonts w:ascii="Arial Narrow" w:hAnsi="Arial Narrow"/>
          <w:sz w:val="24"/>
          <w:szCs w:val="24"/>
        </w:rPr>
      </w:pPr>
      <w:r w:rsidRPr="00B94CA5">
        <w:rPr>
          <w:rFonts w:ascii="Arial Narrow" w:hAnsi="Arial Narrow"/>
          <w:sz w:val="24"/>
          <w:szCs w:val="24"/>
        </w:rPr>
        <w:t xml:space="preserve">Ensure relevant technical standards are formulated and agreed within the terms of reference and deadline set by SAG. </w:t>
      </w:r>
    </w:p>
    <w:p w:rsidR="00647422" w:rsidRPr="00B94CA5" w:rsidRDefault="00647422" w:rsidP="00647422">
      <w:pPr>
        <w:pStyle w:val="ListParagraph"/>
        <w:numPr>
          <w:ilvl w:val="0"/>
          <w:numId w:val="18"/>
        </w:numPr>
        <w:spacing w:line="240" w:lineRule="auto"/>
        <w:jc w:val="both"/>
        <w:rPr>
          <w:rFonts w:ascii="Arial Narrow" w:hAnsi="Arial Narrow"/>
          <w:sz w:val="24"/>
          <w:szCs w:val="24"/>
        </w:rPr>
      </w:pPr>
      <w:r w:rsidRPr="00B94CA5">
        <w:rPr>
          <w:rFonts w:ascii="Arial Narrow" w:hAnsi="Arial Narrow"/>
          <w:sz w:val="24"/>
          <w:szCs w:val="24"/>
        </w:rPr>
        <w:t>Update the Cluster on status of work-in-progress and present final outputs/recommendations of the TWIG to Cluster stakeholders in oral and written form for feedback and comment</w:t>
      </w:r>
    </w:p>
    <w:p w:rsidR="00647422" w:rsidRPr="00B94CA5" w:rsidRDefault="00647422" w:rsidP="00647422">
      <w:pPr>
        <w:pStyle w:val="ListParagraph"/>
        <w:numPr>
          <w:ilvl w:val="0"/>
          <w:numId w:val="18"/>
        </w:numPr>
        <w:spacing w:line="240" w:lineRule="auto"/>
        <w:jc w:val="both"/>
        <w:rPr>
          <w:rFonts w:ascii="Arial Narrow" w:hAnsi="Arial Narrow"/>
          <w:sz w:val="24"/>
          <w:szCs w:val="24"/>
        </w:rPr>
      </w:pPr>
      <w:r w:rsidRPr="00B94CA5">
        <w:rPr>
          <w:rFonts w:ascii="Arial Narrow" w:hAnsi="Arial Narrow"/>
          <w:sz w:val="24"/>
          <w:szCs w:val="24"/>
        </w:rPr>
        <w:t>Ensure a TWIG membership that is representative of the wider Cluster stakeholder groups, and ensure that relevant technical skill-sets are appropriate and available (advise the Cluster Coordinator if this is not the case)</w:t>
      </w:r>
    </w:p>
    <w:p w:rsidR="00647422" w:rsidRPr="00B94CA5" w:rsidRDefault="00683DB4" w:rsidP="00647422">
      <w:pPr>
        <w:pStyle w:val="ListParagraph"/>
        <w:numPr>
          <w:ilvl w:val="0"/>
          <w:numId w:val="18"/>
        </w:numPr>
        <w:spacing w:line="240" w:lineRule="auto"/>
        <w:jc w:val="both"/>
        <w:rPr>
          <w:rFonts w:ascii="Arial Narrow" w:hAnsi="Arial Narrow"/>
          <w:sz w:val="24"/>
          <w:szCs w:val="24"/>
        </w:rPr>
      </w:pPr>
      <w:r w:rsidRPr="00B94CA5">
        <w:rPr>
          <w:rFonts w:ascii="Arial Narrow" w:hAnsi="Arial Narrow" w:cs="Arial"/>
          <w:sz w:val="24"/>
          <w:szCs w:val="24"/>
        </w:rPr>
        <w:lastRenderedPageBreak/>
        <w:t>Certify</w:t>
      </w:r>
      <w:r w:rsidR="00647422" w:rsidRPr="00B94CA5">
        <w:rPr>
          <w:rFonts w:ascii="Arial Narrow" w:hAnsi="Arial Narrow" w:cs="Arial"/>
          <w:sz w:val="24"/>
          <w:szCs w:val="24"/>
        </w:rPr>
        <w:t xml:space="preserve"> that in-country experiences and feedback are captured and iteratively addressed in developing the outputs of the TWiG</w:t>
      </w:r>
    </w:p>
    <w:p w:rsidR="00647422" w:rsidRPr="00B94CA5" w:rsidRDefault="00647422" w:rsidP="00647422">
      <w:pPr>
        <w:jc w:val="both"/>
        <w:rPr>
          <w:rFonts w:ascii="Arial Narrow" w:hAnsi="Arial Narrow"/>
          <w:sz w:val="24"/>
          <w:szCs w:val="24"/>
        </w:rPr>
      </w:pPr>
      <w:r w:rsidRPr="00B94CA5">
        <w:rPr>
          <w:rFonts w:ascii="Arial Narrow" w:hAnsi="Arial Narrow"/>
          <w:sz w:val="24"/>
          <w:szCs w:val="24"/>
        </w:rPr>
        <w:t>Ensure all Cluster stakeholders have the opportunity to feedback into the work of the TWIG prior to presentation to the Cluster in plenary for validation, and following the SAG’s ratification</w:t>
      </w:r>
      <w:r w:rsidR="00A32AD0" w:rsidRPr="00B94CA5">
        <w:rPr>
          <w:rFonts w:ascii="Arial Narrow" w:hAnsi="Arial Narrow"/>
          <w:sz w:val="24"/>
          <w:szCs w:val="24"/>
        </w:rPr>
        <w:t>.</w:t>
      </w:r>
    </w:p>
    <w:p w:rsidR="00647422" w:rsidRPr="00B94CA5" w:rsidRDefault="00647422" w:rsidP="00F16AA6">
      <w:pPr>
        <w:jc w:val="both"/>
        <w:rPr>
          <w:rFonts w:ascii="Arial Narrow" w:hAnsi="Arial Narrow"/>
          <w:sz w:val="24"/>
          <w:szCs w:val="24"/>
        </w:rPr>
      </w:pPr>
    </w:p>
    <w:sectPr w:rsidR="00647422" w:rsidRPr="00B94CA5" w:rsidSect="008C1D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40B" w:rsidRDefault="0006440B" w:rsidP="00D55F1E">
      <w:pPr>
        <w:spacing w:after="0" w:line="240" w:lineRule="auto"/>
      </w:pPr>
      <w:r>
        <w:separator/>
      </w:r>
    </w:p>
  </w:endnote>
  <w:endnote w:type="continuationSeparator" w:id="0">
    <w:p w:rsidR="0006440B" w:rsidRDefault="0006440B" w:rsidP="00D55F1E">
      <w:pPr>
        <w:spacing w:after="0" w:line="240" w:lineRule="auto"/>
      </w:pPr>
      <w:r>
        <w:continuationSeparator/>
      </w:r>
    </w:p>
  </w:endnote>
  <w:endnote w:type="continuationNotice" w:id="1">
    <w:p w:rsidR="0006440B" w:rsidRDefault="00064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40B" w:rsidRDefault="0006440B" w:rsidP="00D55F1E">
      <w:pPr>
        <w:spacing w:after="0" w:line="240" w:lineRule="auto"/>
      </w:pPr>
      <w:r>
        <w:separator/>
      </w:r>
    </w:p>
  </w:footnote>
  <w:footnote w:type="continuationSeparator" w:id="0">
    <w:p w:rsidR="0006440B" w:rsidRDefault="0006440B" w:rsidP="00D55F1E">
      <w:pPr>
        <w:spacing w:after="0" w:line="240" w:lineRule="auto"/>
      </w:pPr>
      <w:r>
        <w:continuationSeparator/>
      </w:r>
    </w:p>
  </w:footnote>
  <w:footnote w:type="continuationNotice" w:id="1">
    <w:p w:rsidR="0006440B" w:rsidRDefault="000644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1E" w:rsidRPr="00B94CA5" w:rsidRDefault="00B94CA5">
    <w:pPr>
      <w:pStyle w:val="Header"/>
      <w:rPr>
        <w:rFonts w:ascii="Arial Narrow" w:hAnsi="Arial Narrow"/>
      </w:rPr>
    </w:pPr>
    <w:r w:rsidRPr="00B94CA5">
      <w:rPr>
        <w:rFonts w:ascii="Arial Narrow" w:hAnsi="Arial Narrow"/>
        <w:noProof/>
      </w:rPr>
      <w:drawing>
        <wp:anchor distT="0" distB="0" distL="114300" distR="114300" simplePos="0" relativeHeight="251660288" behindDoc="1" locked="0" layoutInCell="1" allowOverlap="1" wp14:anchorId="72E1A263" wp14:editId="551FAC1F">
          <wp:simplePos x="0" y="0"/>
          <wp:positionH relativeFrom="column">
            <wp:posOffset>4705350</wp:posOffset>
          </wp:positionH>
          <wp:positionV relativeFrom="paragraph">
            <wp:posOffset>-285750</wp:posOffset>
          </wp:positionV>
          <wp:extent cx="1774190" cy="628650"/>
          <wp:effectExtent l="0" t="0" r="0" b="0"/>
          <wp:wrapTight wrapText="bothSides">
            <wp:wrapPolygon edited="0">
              <wp:start x="0" y="0"/>
              <wp:lineTo x="0" y="20945"/>
              <wp:lineTo x="21337" y="20945"/>
              <wp:lineTo x="2133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190" cy="628650"/>
                  </a:xfrm>
                  <a:prstGeom prst="rect">
                    <a:avLst/>
                  </a:prstGeom>
                </pic:spPr>
              </pic:pic>
            </a:graphicData>
          </a:graphic>
          <wp14:sizeRelH relativeFrom="margin">
            <wp14:pctWidth>0</wp14:pctWidth>
          </wp14:sizeRelH>
          <wp14:sizeRelV relativeFrom="margin">
            <wp14:pctHeight>0</wp14:pctHeight>
          </wp14:sizeRelV>
        </wp:anchor>
      </w:drawing>
    </w:r>
    <w:r w:rsidR="00C873BD" w:rsidRPr="00B94CA5">
      <w:rPr>
        <w:rFonts w:ascii="Arial Narrow" w:hAnsi="Arial Narrow"/>
      </w:rPr>
      <w:t>December 10</w:t>
    </w:r>
    <w:r w:rsidR="00C873BD" w:rsidRPr="00B94CA5">
      <w:rPr>
        <w:rFonts w:ascii="Arial Narrow" w:hAnsi="Arial Narrow"/>
        <w:vertAlign w:val="superscript"/>
      </w:rPr>
      <w:t>th</w:t>
    </w:r>
    <w:r w:rsidR="00180372" w:rsidRPr="00B94CA5">
      <w:rPr>
        <w:rFonts w:ascii="Arial Narrow" w:hAnsi="Arial Narrow"/>
      </w:rPr>
      <w:t>,</w:t>
    </w:r>
    <w:r w:rsidR="00D55F1E" w:rsidRPr="00B94CA5">
      <w:rPr>
        <w:rFonts w:ascii="Arial Narrow" w:hAnsi="Arial Narrow"/>
      </w:rPr>
      <w:t xml:space="preserve"> WASH Cluster</w:t>
    </w:r>
  </w:p>
  <w:p w:rsidR="00B94CA5" w:rsidRDefault="00B94CA5">
    <w:pPr>
      <w:pStyle w:val="Header"/>
    </w:pPr>
  </w:p>
  <w:p w:rsidR="00B94CA5" w:rsidRDefault="00B94CA5">
    <w:pPr>
      <w:pStyle w:val="Header"/>
    </w:pPr>
  </w:p>
  <w:p w:rsidR="00B94CA5" w:rsidRDefault="00B94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BC5A43"/>
    <w:multiLevelType w:val="hybridMultilevel"/>
    <w:tmpl w:val="16D40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43541"/>
    <w:multiLevelType w:val="hybridMultilevel"/>
    <w:tmpl w:val="F4A03F5E"/>
    <w:lvl w:ilvl="0" w:tplc="B1CA31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C0F43"/>
    <w:multiLevelType w:val="hybridMultilevel"/>
    <w:tmpl w:val="42701BA2"/>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2220B"/>
    <w:multiLevelType w:val="hybridMultilevel"/>
    <w:tmpl w:val="69F42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4E28AF"/>
    <w:multiLevelType w:val="hybridMultilevel"/>
    <w:tmpl w:val="EB6E5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93465C"/>
    <w:multiLevelType w:val="hybridMultilevel"/>
    <w:tmpl w:val="10AE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93094"/>
    <w:multiLevelType w:val="hybridMultilevel"/>
    <w:tmpl w:val="5058B04C"/>
    <w:lvl w:ilvl="0" w:tplc="FDF2BB9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71206"/>
    <w:multiLevelType w:val="hybridMultilevel"/>
    <w:tmpl w:val="285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146FC"/>
    <w:multiLevelType w:val="hybridMultilevel"/>
    <w:tmpl w:val="E05C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113F3A"/>
    <w:multiLevelType w:val="hybridMultilevel"/>
    <w:tmpl w:val="E396B30A"/>
    <w:lvl w:ilvl="0" w:tplc="FDF2BB9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234E9"/>
    <w:multiLevelType w:val="hybridMultilevel"/>
    <w:tmpl w:val="8CD4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043F3"/>
    <w:multiLevelType w:val="multilevel"/>
    <w:tmpl w:val="5058B04C"/>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8D0415"/>
    <w:multiLevelType w:val="hybridMultilevel"/>
    <w:tmpl w:val="8D660D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C2286C"/>
    <w:multiLevelType w:val="hybridMultilevel"/>
    <w:tmpl w:val="8D54352A"/>
    <w:lvl w:ilvl="0" w:tplc="B02616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71225"/>
    <w:multiLevelType w:val="multilevel"/>
    <w:tmpl w:val="D632C0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8A38AD"/>
    <w:multiLevelType w:val="hybridMultilevel"/>
    <w:tmpl w:val="18B2C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258EF"/>
    <w:multiLevelType w:val="hybridMultilevel"/>
    <w:tmpl w:val="3712F4FA"/>
    <w:lvl w:ilvl="0" w:tplc="DF823E2C">
      <w:start w:val="1"/>
      <w:numFmt w:val="bullet"/>
      <w:lvlText w:val=""/>
      <w:lvlJc w:val="left"/>
      <w:pPr>
        <w:tabs>
          <w:tab w:val="num" w:pos="360"/>
        </w:tabs>
        <w:ind w:left="360" w:hanging="360"/>
      </w:pPr>
      <w:rPr>
        <w:rFonts w:ascii="Symbol" w:hAnsi="Symbol" w:hint="default"/>
        <w:color w:val="FF0000"/>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DF823E2C">
      <w:start w:val="1"/>
      <w:numFmt w:val="bullet"/>
      <w:lvlText w:val=""/>
      <w:lvlJc w:val="left"/>
      <w:pPr>
        <w:tabs>
          <w:tab w:val="num" w:pos="1800"/>
        </w:tabs>
        <w:ind w:left="1800" w:hanging="360"/>
      </w:pPr>
      <w:rPr>
        <w:rFonts w:ascii="Symbol" w:hAnsi="Symbol" w:hint="default"/>
        <w:color w:val="FF0000"/>
        <w:sz w:val="28"/>
        <w:szCs w:val="28"/>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972073"/>
    <w:multiLevelType w:val="multilevel"/>
    <w:tmpl w:val="D5000658"/>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7394CC7"/>
    <w:multiLevelType w:val="multilevel"/>
    <w:tmpl w:val="E9AC2F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C50BF8"/>
    <w:multiLevelType w:val="hybridMultilevel"/>
    <w:tmpl w:val="0C9E496A"/>
    <w:lvl w:ilvl="0" w:tplc="687A8C0C">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C40D8"/>
    <w:multiLevelType w:val="hybridMultilevel"/>
    <w:tmpl w:val="D450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567F6"/>
    <w:multiLevelType w:val="hybridMultilevel"/>
    <w:tmpl w:val="49103D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F85CD8"/>
    <w:multiLevelType w:val="multilevel"/>
    <w:tmpl w:val="DD78C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294AB7"/>
    <w:multiLevelType w:val="hybridMultilevel"/>
    <w:tmpl w:val="8086F7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AF7C53"/>
    <w:multiLevelType w:val="hybridMultilevel"/>
    <w:tmpl w:val="31E22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62790"/>
    <w:multiLevelType w:val="hybridMultilevel"/>
    <w:tmpl w:val="D4EE39C2"/>
    <w:lvl w:ilvl="0" w:tplc="A9409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42B32"/>
    <w:multiLevelType w:val="hybridMultilevel"/>
    <w:tmpl w:val="999ED7F8"/>
    <w:lvl w:ilvl="0" w:tplc="403498E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11B08"/>
    <w:multiLevelType w:val="multilevel"/>
    <w:tmpl w:val="4F62B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6157FB"/>
    <w:multiLevelType w:val="hybridMultilevel"/>
    <w:tmpl w:val="13C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29"/>
  </w:num>
  <w:num w:numId="5">
    <w:abstractNumId w:val="5"/>
  </w:num>
  <w:num w:numId="6">
    <w:abstractNumId w:val="13"/>
  </w:num>
  <w:num w:numId="7">
    <w:abstractNumId w:val="17"/>
  </w:num>
  <w:num w:numId="8">
    <w:abstractNumId w:val="11"/>
  </w:num>
  <w:num w:numId="9">
    <w:abstractNumId w:val="25"/>
  </w:num>
  <w:num w:numId="10">
    <w:abstractNumId w:val="0"/>
  </w:num>
  <w:num w:numId="11">
    <w:abstractNumId w:val="14"/>
  </w:num>
  <w:num w:numId="12">
    <w:abstractNumId w:val="8"/>
  </w:num>
  <w:num w:numId="13">
    <w:abstractNumId w:val="27"/>
  </w:num>
  <w:num w:numId="14">
    <w:abstractNumId w:val="26"/>
  </w:num>
  <w:num w:numId="15">
    <w:abstractNumId w:val="22"/>
  </w:num>
  <w:num w:numId="16">
    <w:abstractNumId w:val="1"/>
  </w:num>
  <w:num w:numId="17">
    <w:abstractNumId w:val="3"/>
  </w:num>
  <w:num w:numId="18">
    <w:abstractNumId w:val="7"/>
  </w:num>
  <w:num w:numId="19">
    <w:abstractNumId w:val="24"/>
  </w:num>
  <w:num w:numId="20">
    <w:abstractNumId w:val="12"/>
  </w:num>
  <w:num w:numId="21">
    <w:abstractNumId w:val="28"/>
  </w:num>
  <w:num w:numId="22">
    <w:abstractNumId w:val="23"/>
  </w:num>
  <w:num w:numId="23">
    <w:abstractNumId w:val="15"/>
  </w:num>
  <w:num w:numId="24">
    <w:abstractNumId w:val="19"/>
  </w:num>
  <w:num w:numId="25">
    <w:abstractNumId w:val="18"/>
  </w:num>
  <w:num w:numId="26">
    <w:abstractNumId w:val="6"/>
  </w:num>
  <w:num w:numId="27">
    <w:abstractNumId w:val="16"/>
  </w:num>
  <w:num w:numId="28">
    <w:abstractNumId w:val="21"/>
  </w:num>
  <w:num w:numId="29">
    <w:abstractNumId w:val="2"/>
  </w:num>
  <w:num w:numId="30">
    <w:abstractNumId w:val="2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1E"/>
    <w:rsid w:val="00001FE4"/>
    <w:rsid w:val="00015DD6"/>
    <w:rsid w:val="00023F36"/>
    <w:rsid w:val="0003712E"/>
    <w:rsid w:val="0006440B"/>
    <w:rsid w:val="000771D7"/>
    <w:rsid w:val="000B3F2D"/>
    <w:rsid w:val="000E2BF3"/>
    <w:rsid w:val="000F105D"/>
    <w:rsid w:val="00113661"/>
    <w:rsid w:val="00127DEF"/>
    <w:rsid w:val="00180372"/>
    <w:rsid w:val="001D39D1"/>
    <w:rsid w:val="001D3F50"/>
    <w:rsid w:val="001E5FF3"/>
    <w:rsid w:val="00210419"/>
    <w:rsid w:val="002170F6"/>
    <w:rsid w:val="0022295C"/>
    <w:rsid w:val="00251FB9"/>
    <w:rsid w:val="00290C12"/>
    <w:rsid w:val="00292B62"/>
    <w:rsid w:val="002B3565"/>
    <w:rsid w:val="002E0D6F"/>
    <w:rsid w:val="002E3078"/>
    <w:rsid w:val="00301084"/>
    <w:rsid w:val="00303900"/>
    <w:rsid w:val="00326CEC"/>
    <w:rsid w:val="00332039"/>
    <w:rsid w:val="00360718"/>
    <w:rsid w:val="00360F5A"/>
    <w:rsid w:val="003B40DA"/>
    <w:rsid w:val="003B4862"/>
    <w:rsid w:val="003C36A7"/>
    <w:rsid w:val="003E3145"/>
    <w:rsid w:val="00410CF3"/>
    <w:rsid w:val="004278A1"/>
    <w:rsid w:val="004422C2"/>
    <w:rsid w:val="00446F3D"/>
    <w:rsid w:val="00457CBD"/>
    <w:rsid w:val="004708F0"/>
    <w:rsid w:val="004921FB"/>
    <w:rsid w:val="004929CB"/>
    <w:rsid w:val="00494CA5"/>
    <w:rsid w:val="004B142E"/>
    <w:rsid w:val="004B220E"/>
    <w:rsid w:val="004E5E38"/>
    <w:rsid w:val="004F5D1B"/>
    <w:rsid w:val="005231C0"/>
    <w:rsid w:val="00536F57"/>
    <w:rsid w:val="00546784"/>
    <w:rsid w:val="00560395"/>
    <w:rsid w:val="0056686A"/>
    <w:rsid w:val="00586EC4"/>
    <w:rsid w:val="005870DC"/>
    <w:rsid w:val="005B1E69"/>
    <w:rsid w:val="005C2199"/>
    <w:rsid w:val="00613B8E"/>
    <w:rsid w:val="00617339"/>
    <w:rsid w:val="00647422"/>
    <w:rsid w:val="00666799"/>
    <w:rsid w:val="00672B20"/>
    <w:rsid w:val="006730DB"/>
    <w:rsid w:val="00675EAD"/>
    <w:rsid w:val="00683DB4"/>
    <w:rsid w:val="00685582"/>
    <w:rsid w:val="006A56AA"/>
    <w:rsid w:val="006B4E31"/>
    <w:rsid w:val="006C69BC"/>
    <w:rsid w:val="006E1988"/>
    <w:rsid w:val="006E4619"/>
    <w:rsid w:val="00714E2A"/>
    <w:rsid w:val="007260F2"/>
    <w:rsid w:val="00727291"/>
    <w:rsid w:val="007405A4"/>
    <w:rsid w:val="00760AA2"/>
    <w:rsid w:val="007665A0"/>
    <w:rsid w:val="007958AB"/>
    <w:rsid w:val="007F02C7"/>
    <w:rsid w:val="0083087B"/>
    <w:rsid w:val="00832D1E"/>
    <w:rsid w:val="0084250B"/>
    <w:rsid w:val="00843EEB"/>
    <w:rsid w:val="00882574"/>
    <w:rsid w:val="008834D1"/>
    <w:rsid w:val="008C1D9F"/>
    <w:rsid w:val="008E5844"/>
    <w:rsid w:val="008F73CB"/>
    <w:rsid w:val="00907D16"/>
    <w:rsid w:val="009162AF"/>
    <w:rsid w:val="00950FF7"/>
    <w:rsid w:val="00956472"/>
    <w:rsid w:val="009614B2"/>
    <w:rsid w:val="00965BC7"/>
    <w:rsid w:val="0098079C"/>
    <w:rsid w:val="00983126"/>
    <w:rsid w:val="009914A8"/>
    <w:rsid w:val="009A0694"/>
    <w:rsid w:val="009A2A6C"/>
    <w:rsid w:val="009E2E89"/>
    <w:rsid w:val="00A32AD0"/>
    <w:rsid w:val="00A4369F"/>
    <w:rsid w:val="00A647F6"/>
    <w:rsid w:val="00A75485"/>
    <w:rsid w:val="00AA2F2A"/>
    <w:rsid w:val="00AB0686"/>
    <w:rsid w:val="00B11619"/>
    <w:rsid w:val="00B279F1"/>
    <w:rsid w:val="00B4572F"/>
    <w:rsid w:val="00B87D77"/>
    <w:rsid w:val="00B94CA5"/>
    <w:rsid w:val="00BF3497"/>
    <w:rsid w:val="00C020B6"/>
    <w:rsid w:val="00C04AF7"/>
    <w:rsid w:val="00C258F3"/>
    <w:rsid w:val="00C306A6"/>
    <w:rsid w:val="00C35276"/>
    <w:rsid w:val="00C46354"/>
    <w:rsid w:val="00C650D0"/>
    <w:rsid w:val="00C70A3F"/>
    <w:rsid w:val="00C873BD"/>
    <w:rsid w:val="00CC317F"/>
    <w:rsid w:val="00CE6276"/>
    <w:rsid w:val="00D027A1"/>
    <w:rsid w:val="00D07ED1"/>
    <w:rsid w:val="00D17682"/>
    <w:rsid w:val="00D25C5C"/>
    <w:rsid w:val="00D32FE5"/>
    <w:rsid w:val="00D55F1E"/>
    <w:rsid w:val="00D70D50"/>
    <w:rsid w:val="00D77149"/>
    <w:rsid w:val="00D8501B"/>
    <w:rsid w:val="00DA7254"/>
    <w:rsid w:val="00DC11D9"/>
    <w:rsid w:val="00DE791F"/>
    <w:rsid w:val="00E17F55"/>
    <w:rsid w:val="00E37952"/>
    <w:rsid w:val="00E66B07"/>
    <w:rsid w:val="00E72DDD"/>
    <w:rsid w:val="00E941B0"/>
    <w:rsid w:val="00E95A93"/>
    <w:rsid w:val="00E96527"/>
    <w:rsid w:val="00EA23A4"/>
    <w:rsid w:val="00EB2E03"/>
    <w:rsid w:val="00EB4DE0"/>
    <w:rsid w:val="00ED7BAC"/>
    <w:rsid w:val="00F0474D"/>
    <w:rsid w:val="00F16AA6"/>
    <w:rsid w:val="00F229CD"/>
    <w:rsid w:val="00F2574E"/>
    <w:rsid w:val="00F375C4"/>
    <w:rsid w:val="00F41B6A"/>
    <w:rsid w:val="00F75977"/>
    <w:rsid w:val="00FB1161"/>
    <w:rsid w:val="00FE6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74B5E-223A-478D-A356-635F5505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E2A"/>
  </w:style>
  <w:style w:type="paragraph" w:styleId="Heading1">
    <w:name w:val="heading 1"/>
    <w:basedOn w:val="Normal"/>
    <w:next w:val="Normal"/>
    <w:link w:val="Heading1Char"/>
    <w:uiPriority w:val="9"/>
    <w:qFormat/>
    <w:rsid w:val="00B94C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1E"/>
  </w:style>
  <w:style w:type="paragraph" w:styleId="Footer">
    <w:name w:val="footer"/>
    <w:basedOn w:val="Normal"/>
    <w:link w:val="FooterChar"/>
    <w:uiPriority w:val="99"/>
    <w:unhideWhenUsed/>
    <w:rsid w:val="00D5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1E"/>
  </w:style>
  <w:style w:type="paragraph" w:styleId="ListParagraph">
    <w:name w:val="List Paragraph"/>
    <w:basedOn w:val="Normal"/>
    <w:uiPriority w:val="34"/>
    <w:qFormat/>
    <w:rsid w:val="00D55F1E"/>
    <w:pPr>
      <w:ind w:left="720"/>
      <w:contextualSpacing/>
    </w:pPr>
  </w:style>
  <w:style w:type="character" w:styleId="CommentReference">
    <w:name w:val="annotation reference"/>
    <w:basedOn w:val="DefaultParagraphFont"/>
    <w:uiPriority w:val="99"/>
    <w:semiHidden/>
    <w:unhideWhenUsed/>
    <w:rsid w:val="00001FE4"/>
    <w:rPr>
      <w:sz w:val="16"/>
      <w:szCs w:val="16"/>
    </w:rPr>
  </w:style>
  <w:style w:type="paragraph" w:styleId="CommentText">
    <w:name w:val="annotation text"/>
    <w:basedOn w:val="Normal"/>
    <w:link w:val="CommentTextChar"/>
    <w:uiPriority w:val="99"/>
    <w:unhideWhenUsed/>
    <w:rsid w:val="00001FE4"/>
    <w:pPr>
      <w:spacing w:line="240" w:lineRule="auto"/>
    </w:pPr>
    <w:rPr>
      <w:sz w:val="20"/>
      <w:szCs w:val="20"/>
    </w:rPr>
  </w:style>
  <w:style w:type="character" w:customStyle="1" w:styleId="CommentTextChar">
    <w:name w:val="Comment Text Char"/>
    <w:basedOn w:val="DefaultParagraphFont"/>
    <w:link w:val="CommentText"/>
    <w:uiPriority w:val="99"/>
    <w:rsid w:val="00001FE4"/>
    <w:rPr>
      <w:sz w:val="20"/>
      <w:szCs w:val="20"/>
    </w:rPr>
  </w:style>
  <w:style w:type="paragraph" w:styleId="CommentSubject">
    <w:name w:val="annotation subject"/>
    <w:basedOn w:val="CommentText"/>
    <w:next w:val="CommentText"/>
    <w:link w:val="CommentSubjectChar"/>
    <w:uiPriority w:val="99"/>
    <w:semiHidden/>
    <w:unhideWhenUsed/>
    <w:rsid w:val="00001FE4"/>
    <w:rPr>
      <w:b/>
      <w:bCs/>
    </w:rPr>
  </w:style>
  <w:style w:type="character" w:customStyle="1" w:styleId="CommentSubjectChar">
    <w:name w:val="Comment Subject Char"/>
    <w:basedOn w:val="CommentTextChar"/>
    <w:link w:val="CommentSubject"/>
    <w:uiPriority w:val="99"/>
    <w:semiHidden/>
    <w:rsid w:val="00001FE4"/>
    <w:rPr>
      <w:b/>
      <w:bCs/>
      <w:sz w:val="20"/>
      <w:szCs w:val="20"/>
    </w:rPr>
  </w:style>
  <w:style w:type="paragraph" w:styleId="BalloonText">
    <w:name w:val="Balloon Text"/>
    <w:basedOn w:val="Normal"/>
    <w:link w:val="BalloonTextChar"/>
    <w:uiPriority w:val="99"/>
    <w:semiHidden/>
    <w:unhideWhenUsed/>
    <w:rsid w:val="0000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FE4"/>
    <w:rPr>
      <w:rFonts w:ascii="Segoe UI" w:hAnsi="Segoe UI" w:cs="Segoe UI"/>
      <w:sz w:val="18"/>
      <w:szCs w:val="18"/>
    </w:rPr>
  </w:style>
  <w:style w:type="paragraph" w:styleId="EndnoteText">
    <w:name w:val="endnote text"/>
    <w:basedOn w:val="Normal"/>
    <w:link w:val="EndnoteTextChar"/>
    <w:uiPriority w:val="99"/>
    <w:semiHidden/>
    <w:unhideWhenUsed/>
    <w:rsid w:val="003B48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4862"/>
    <w:rPr>
      <w:sz w:val="20"/>
      <w:szCs w:val="20"/>
    </w:rPr>
  </w:style>
  <w:style w:type="character" w:styleId="EndnoteReference">
    <w:name w:val="endnote reference"/>
    <w:basedOn w:val="DefaultParagraphFont"/>
    <w:uiPriority w:val="99"/>
    <w:semiHidden/>
    <w:unhideWhenUsed/>
    <w:rsid w:val="003B4862"/>
    <w:rPr>
      <w:vertAlign w:val="superscript"/>
    </w:rPr>
  </w:style>
  <w:style w:type="paragraph" w:styleId="FootnoteText">
    <w:name w:val="footnote text"/>
    <w:basedOn w:val="Normal"/>
    <w:link w:val="FootnoteTextChar"/>
    <w:unhideWhenUsed/>
    <w:rsid w:val="003B4862"/>
    <w:pPr>
      <w:spacing w:after="0" w:line="240" w:lineRule="auto"/>
    </w:pPr>
    <w:rPr>
      <w:sz w:val="20"/>
      <w:szCs w:val="20"/>
    </w:rPr>
  </w:style>
  <w:style w:type="character" w:customStyle="1" w:styleId="FootnoteTextChar">
    <w:name w:val="Footnote Text Char"/>
    <w:basedOn w:val="DefaultParagraphFont"/>
    <w:link w:val="FootnoteText"/>
    <w:rsid w:val="003B4862"/>
    <w:rPr>
      <w:sz w:val="20"/>
      <w:szCs w:val="20"/>
    </w:rPr>
  </w:style>
  <w:style w:type="character" w:styleId="FootnoteReference">
    <w:name w:val="footnote reference"/>
    <w:basedOn w:val="DefaultParagraphFont"/>
    <w:uiPriority w:val="99"/>
    <w:semiHidden/>
    <w:unhideWhenUsed/>
    <w:rsid w:val="003B4862"/>
    <w:rPr>
      <w:vertAlign w:val="superscript"/>
    </w:rPr>
  </w:style>
  <w:style w:type="paragraph" w:customStyle="1" w:styleId="Default">
    <w:name w:val="Default"/>
    <w:rsid w:val="007F02C7"/>
    <w:pPr>
      <w:autoSpaceDE w:val="0"/>
      <w:autoSpaceDN w:val="0"/>
      <w:adjustRightInd w:val="0"/>
      <w:spacing w:after="0" w:line="240" w:lineRule="auto"/>
    </w:pPr>
    <w:rPr>
      <w:rFonts w:ascii="Garamond" w:eastAsia="Times New Roman" w:hAnsi="Garamond" w:cs="Garamond"/>
      <w:color w:val="000000"/>
      <w:sz w:val="24"/>
      <w:szCs w:val="24"/>
    </w:rPr>
  </w:style>
  <w:style w:type="paragraph" w:styleId="Revision">
    <w:name w:val="Revision"/>
    <w:hidden/>
    <w:uiPriority w:val="99"/>
    <w:semiHidden/>
    <w:rsid w:val="007958AB"/>
    <w:pPr>
      <w:spacing w:after="0" w:line="240" w:lineRule="auto"/>
    </w:pPr>
  </w:style>
  <w:style w:type="character" w:customStyle="1" w:styleId="heading1washChar">
    <w:name w:val="heading 1 wash Char"/>
    <w:basedOn w:val="DefaultParagraphFont"/>
    <w:link w:val="heading1wash"/>
    <w:locked/>
    <w:rsid w:val="00B94CA5"/>
    <w:rPr>
      <w:rFonts w:ascii="Arial" w:eastAsiaTheme="majorEastAsia" w:hAnsi="Arial" w:cs="Arial"/>
      <w:bCs/>
      <w:color w:val="006666"/>
      <w:sz w:val="28"/>
      <w:szCs w:val="28"/>
    </w:rPr>
  </w:style>
  <w:style w:type="paragraph" w:customStyle="1" w:styleId="heading1wash">
    <w:name w:val="heading 1 wash"/>
    <w:basedOn w:val="Heading1"/>
    <w:next w:val="Heading1"/>
    <w:link w:val="heading1washChar"/>
    <w:qFormat/>
    <w:rsid w:val="00B94CA5"/>
    <w:pPr>
      <w:spacing w:after="240" w:line="240" w:lineRule="auto"/>
    </w:pPr>
    <w:rPr>
      <w:rFonts w:ascii="Arial" w:hAnsi="Arial" w:cs="Arial"/>
      <w:bCs/>
      <w:color w:val="006666"/>
      <w:sz w:val="28"/>
      <w:szCs w:val="28"/>
    </w:rPr>
  </w:style>
  <w:style w:type="character" w:customStyle="1" w:styleId="Heading1Char">
    <w:name w:val="Heading 1 Char"/>
    <w:basedOn w:val="DefaultParagraphFont"/>
    <w:link w:val="Heading1"/>
    <w:uiPriority w:val="9"/>
    <w:rsid w:val="00B94C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733">
      <w:bodyDiv w:val="1"/>
      <w:marLeft w:val="0"/>
      <w:marRight w:val="0"/>
      <w:marTop w:val="0"/>
      <w:marBottom w:val="0"/>
      <w:divBdr>
        <w:top w:val="none" w:sz="0" w:space="0" w:color="auto"/>
        <w:left w:val="none" w:sz="0" w:space="0" w:color="auto"/>
        <w:bottom w:val="none" w:sz="0" w:space="0" w:color="auto"/>
        <w:right w:val="none" w:sz="0" w:space="0" w:color="auto"/>
      </w:divBdr>
    </w:div>
    <w:div w:id="744033677">
      <w:bodyDiv w:val="1"/>
      <w:marLeft w:val="0"/>
      <w:marRight w:val="0"/>
      <w:marTop w:val="0"/>
      <w:marBottom w:val="0"/>
      <w:divBdr>
        <w:top w:val="none" w:sz="0" w:space="0" w:color="auto"/>
        <w:left w:val="none" w:sz="0" w:space="0" w:color="auto"/>
        <w:bottom w:val="none" w:sz="0" w:space="0" w:color="auto"/>
        <w:right w:val="none" w:sz="0" w:space="0" w:color="auto"/>
      </w:divBdr>
    </w:div>
    <w:div w:id="784230063">
      <w:bodyDiv w:val="1"/>
      <w:marLeft w:val="0"/>
      <w:marRight w:val="0"/>
      <w:marTop w:val="0"/>
      <w:marBottom w:val="0"/>
      <w:divBdr>
        <w:top w:val="none" w:sz="0" w:space="0" w:color="auto"/>
        <w:left w:val="none" w:sz="0" w:space="0" w:color="auto"/>
        <w:bottom w:val="none" w:sz="0" w:space="0" w:color="auto"/>
        <w:right w:val="none" w:sz="0" w:space="0" w:color="auto"/>
      </w:divBdr>
    </w:div>
    <w:div w:id="12364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31E0-4A65-4857-8884-983FF2AB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Tracy</dc:creator>
  <cp:lastModifiedBy>Emma Tuck</cp:lastModifiedBy>
  <cp:revision>2</cp:revision>
  <cp:lastPrinted>2015-11-23T10:10:00Z</cp:lastPrinted>
  <dcterms:created xsi:type="dcterms:W3CDTF">2015-12-10T11:16:00Z</dcterms:created>
  <dcterms:modified xsi:type="dcterms:W3CDTF">2015-12-10T11:16:00Z</dcterms:modified>
</cp:coreProperties>
</file>