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94504" w14:textId="6EA8B3CE" w:rsidR="00B87D77" w:rsidRDefault="00D55F1E" w:rsidP="00DE791F">
      <w:pPr>
        <w:pBdr>
          <w:bottom w:val="single" w:sz="4" w:space="1" w:color="auto"/>
        </w:pBdr>
        <w:jc w:val="center"/>
        <w:rPr>
          <w:sz w:val="24"/>
        </w:rPr>
      </w:pPr>
      <w:r w:rsidRPr="00D55F1E">
        <w:rPr>
          <w:sz w:val="24"/>
        </w:rPr>
        <w:t>Assessments Technical Working Group</w:t>
      </w:r>
      <w:r w:rsidR="00B55D04">
        <w:rPr>
          <w:sz w:val="24"/>
        </w:rPr>
        <w:t xml:space="preserve"> (</w:t>
      </w:r>
      <w:proofErr w:type="spellStart"/>
      <w:r w:rsidR="00B55D04">
        <w:rPr>
          <w:sz w:val="24"/>
        </w:rPr>
        <w:t>TWiG</w:t>
      </w:r>
      <w:proofErr w:type="spellEnd"/>
      <w:r w:rsidR="00B55D04">
        <w:rPr>
          <w:sz w:val="24"/>
        </w:rPr>
        <w:t>)</w:t>
      </w:r>
    </w:p>
    <w:p w14:paraId="6E7962CC" w14:textId="77777777" w:rsidR="00D55F1E" w:rsidRPr="006E1988" w:rsidRDefault="00D55F1E" w:rsidP="00DE791F">
      <w:pPr>
        <w:jc w:val="both"/>
        <w:rPr>
          <w:b/>
          <w:sz w:val="24"/>
        </w:rPr>
      </w:pPr>
      <w:r w:rsidRPr="006E1988">
        <w:rPr>
          <w:b/>
          <w:sz w:val="24"/>
        </w:rPr>
        <w:t>Objectives</w:t>
      </w:r>
    </w:p>
    <w:p w14:paraId="41D01CBA" w14:textId="68D11A97" w:rsidR="006E1988" w:rsidRDefault="007F38EA" w:rsidP="00DE791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="006E1988">
        <w:rPr>
          <w:sz w:val="24"/>
        </w:rPr>
        <w:t>rovide strategic guidance and forward thinking on the development of new and innovative assessment methodology and tools</w:t>
      </w:r>
      <w:r>
        <w:rPr>
          <w:sz w:val="24"/>
        </w:rPr>
        <w:t>;</w:t>
      </w:r>
    </w:p>
    <w:p w14:paraId="67EAE5B5" w14:textId="38F608A5" w:rsidR="005C2199" w:rsidRDefault="007F38EA" w:rsidP="00DE791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Support</w:t>
      </w:r>
      <w:r w:rsidR="005C2199">
        <w:rPr>
          <w:sz w:val="24"/>
        </w:rPr>
        <w:t xml:space="preserve"> the development of agreed assessment methodology which could be use during emergency</w:t>
      </w:r>
      <w:r>
        <w:rPr>
          <w:sz w:val="24"/>
        </w:rPr>
        <w:t>;</w:t>
      </w:r>
      <w:bookmarkStart w:id="0" w:name="_GoBack"/>
      <w:bookmarkEnd w:id="0"/>
    </w:p>
    <w:p w14:paraId="397B3E4D" w14:textId="51B66A19" w:rsidR="00001FE4" w:rsidRPr="00586EC4" w:rsidRDefault="00586EC4" w:rsidP="00DE791F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586EC4">
        <w:rPr>
          <w:sz w:val="24"/>
        </w:rPr>
        <w:t>Proactively work to i</w:t>
      </w:r>
      <w:r>
        <w:rPr>
          <w:sz w:val="24"/>
        </w:rPr>
        <w:t>mprove coordination and the technical standard</w:t>
      </w:r>
      <w:r w:rsidRPr="00586EC4">
        <w:rPr>
          <w:sz w:val="24"/>
        </w:rPr>
        <w:t xml:space="preserve"> of WA</w:t>
      </w:r>
      <w:r w:rsidR="007F38EA">
        <w:rPr>
          <w:sz w:val="24"/>
        </w:rPr>
        <w:t>SH assessments and analysis– including</w:t>
      </w:r>
      <w:r w:rsidRPr="00586EC4">
        <w:rPr>
          <w:sz w:val="24"/>
        </w:rPr>
        <w:t xml:space="preserve"> sharing outcomes widely, bo</w:t>
      </w:r>
      <w:r w:rsidR="007F38EA">
        <w:rPr>
          <w:sz w:val="24"/>
        </w:rPr>
        <w:t>th within the WASH sector and with</w:t>
      </w:r>
      <w:r w:rsidRPr="00586EC4">
        <w:rPr>
          <w:sz w:val="24"/>
        </w:rPr>
        <w:t xml:space="preserve"> the wider humanitarian community</w:t>
      </w:r>
      <w:r w:rsidR="007F38EA">
        <w:rPr>
          <w:sz w:val="24"/>
        </w:rPr>
        <w:t>;</w:t>
      </w:r>
    </w:p>
    <w:p w14:paraId="4811D8E1" w14:textId="50CCC6B5" w:rsidR="005C2199" w:rsidRDefault="005C2199" w:rsidP="00DE791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Strengthen inter-cluster assessment</w:t>
      </w:r>
      <w:r w:rsidR="00DE791F">
        <w:rPr>
          <w:sz w:val="24"/>
        </w:rPr>
        <w:t>s</w:t>
      </w:r>
      <w:r>
        <w:rPr>
          <w:sz w:val="24"/>
        </w:rPr>
        <w:t>, specifically with shelter/nutrition/health</w:t>
      </w:r>
      <w:r w:rsidR="007F38EA">
        <w:rPr>
          <w:sz w:val="24"/>
        </w:rPr>
        <w:t xml:space="preserve"> clusters;</w:t>
      </w:r>
    </w:p>
    <w:p w14:paraId="6FB9FF76" w14:textId="6B64DA6B" w:rsidR="006A56AA" w:rsidRDefault="007F38EA" w:rsidP="00DE791F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</w:t>
      </w:r>
      <w:r w:rsidR="006A56AA">
        <w:rPr>
          <w:sz w:val="24"/>
        </w:rPr>
        <w:t xml:space="preserve">romote partnership at global and country level to improve WASH Clusters’ capacity to conduct </w:t>
      </w:r>
      <w:r w:rsidR="00C258F3">
        <w:rPr>
          <w:sz w:val="24"/>
        </w:rPr>
        <w:t xml:space="preserve">joint </w:t>
      </w:r>
      <w:r w:rsidR="006A56AA">
        <w:rPr>
          <w:sz w:val="24"/>
        </w:rPr>
        <w:t>assessment</w:t>
      </w:r>
      <w:r w:rsidR="00C258F3">
        <w:rPr>
          <w:sz w:val="24"/>
        </w:rPr>
        <w:t>s</w:t>
      </w:r>
      <w:r w:rsidR="006A56AA">
        <w:rPr>
          <w:sz w:val="24"/>
        </w:rPr>
        <w:t>, and improve response analy</w:t>
      </w:r>
      <w:r w:rsidR="00C258F3">
        <w:rPr>
          <w:sz w:val="24"/>
        </w:rPr>
        <w:t>sis</w:t>
      </w:r>
      <w:r>
        <w:rPr>
          <w:sz w:val="24"/>
        </w:rPr>
        <w:t>;</w:t>
      </w:r>
    </w:p>
    <w:p w14:paraId="4A427EE9" w14:textId="48A22391" w:rsidR="006A56AA" w:rsidRPr="00C258F3" w:rsidRDefault="007F38EA" w:rsidP="00C258F3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</w:t>
      </w:r>
      <w:r w:rsidR="006A56AA" w:rsidRPr="00C258F3">
        <w:rPr>
          <w:sz w:val="24"/>
        </w:rPr>
        <w:t>upport in-country initiative</w:t>
      </w:r>
      <w:r w:rsidR="007F02C7" w:rsidRPr="00C258F3">
        <w:rPr>
          <w:sz w:val="24"/>
        </w:rPr>
        <w:t>s related to WASH assessment by providing guidance, sharing tools</w:t>
      </w:r>
      <w:r w:rsidR="00C258F3" w:rsidRPr="00C258F3">
        <w:rPr>
          <w:sz w:val="24"/>
        </w:rPr>
        <w:t xml:space="preserve">, and </w:t>
      </w:r>
      <w:r w:rsidR="00C258F3">
        <w:rPr>
          <w:sz w:val="24"/>
        </w:rPr>
        <w:t>the c</w:t>
      </w:r>
      <w:r w:rsidR="006A56AA" w:rsidRPr="00C258F3">
        <w:rPr>
          <w:sz w:val="24"/>
        </w:rPr>
        <w:t>ollect</w:t>
      </w:r>
      <w:r w:rsidR="00C258F3">
        <w:rPr>
          <w:sz w:val="24"/>
        </w:rPr>
        <w:t>ion</w:t>
      </w:r>
      <w:r w:rsidR="007F02C7" w:rsidRPr="00C258F3">
        <w:rPr>
          <w:sz w:val="24"/>
        </w:rPr>
        <w:t>, review and shar</w:t>
      </w:r>
      <w:r w:rsidR="00C258F3">
        <w:rPr>
          <w:sz w:val="24"/>
        </w:rPr>
        <w:t>ing of</w:t>
      </w:r>
      <w:r w:rsidR="006A56AA" w:rsidRPr="00C258F3">
        <w:rPr>
          <w:sz w:val="24"/>
        </w:rPr>
        <w:t xml:space="preserve"> good practices</w:t>
      </w:r>
      <w:r w:rsidR="007F02C7" w:rsidRPr="00C258F3">
        <w:rPr>
          <w:sz w:val="24"/>
        </w:rPr>
        <w:t xml:space="preserve"> from field level </w:t>
      </w:r>
    </w:p>
    <w:p w14:paraId="7D058399" w14:textId="1BE67294" w:rsidR="00FB1161" w:rsidRPr="007F38EA" w:rsidRDefault="00FB1161" w:rsidP="007F38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4"/>
          <w:szCs w:val="20"/>
        </w:rPr>
      </w:pPr>
      <w:r w:rsidRPr="006E1988">
        <w:rPr>
          <w:rFonts w:cs="Arial"/>
          <w:b/>
          <w:sz w:val="24"/>
          <w:szCs w:val="20"/>
        </w:rPr>
        <w:t>Membership</w:t>
      </w:r>
    </w:p>
    <w:p w14:paraId="11E2A0D3" w14:textId="4FA7E791" w:rsidR="003C36A7" w:rsidRPr="00B55D04" w:rsidRDefault="00FB1161" w:rsidP="00B55D04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  <w:r w:rsidRPr="007F38EA">
        <w:rPr>
          <w:rFonts w:cs="Arial"/>
          <w:sz w:val="24"/>
          <w:szCs w:val="20"/>
        </w:rPr>
        <w:t xml:space="preserve">The </w:t>
      </w:r>
      <w:proofErr w:type="spellStart"/>
      <w:r w:rsidRPr="007F38EA">
        <w:rPr>
          <w:rFonts w:cs="Arial"/>
          <w:sz w:val="24"/>
          <w:szCs w:val="20"/>
        </w:rPr>
        <w:t>TWiG</w:t>
      </w:r>
      <w:proofErr w:type="spellEnd"/>
      <w:r w:rsidRPr="007F38EA">
        <w:rPr>
          <w:rFonts w:cs="Arial"/>
          <w:sz w:val="24"/>
          <w:szCs w:val="20"/>
        </w:rPr>
        <w:t xml:space="preserve"> should comprise </w:t>
      </w:r>
      <w:r w:rsidR="007F38EA" w:rsidRPr="007F38EA">
        <w:rPr>
          <w:rFonts w:cs="Arial"/>
          <w:sz w:val="24"/>
          <w:szCs w:val="20"/>
        </w:rPr>
        <w:t>approximately ten individuals</w:t>
      </w:r>
      <w:r w:rsidRPr="007F38EA">
        <w:rPr>
          <w:rFonts w:cs="Arial"/>
          <w:sz w:val="24"/>
          <w:szCs w:val="20"/>
        </w:rPr>
        <w:t xml:space="preserve"> represent</w:t>
      </w:r>
      <w:r w:rsidR="007F38EA" w:rsidRPr="007F38EA">
        <w:rPr>
          <w:rFonts w:cs="Arial"/>
          <w:sz w:val="24"/>
          <w:szCs w:val="20"/>
        </w:rPr>
        <w:t>ing</w:t>
      </w:r>
      <w:r w:rsidRPr="007F38EA">
        <w:rPr>
          <w:rFonts w:cs="Arial"/>
          <w:sz w:val="24"/>
          <w:szCs w:val="20"/>
        </w:rPr>
        <w:t xml:space="preserve"> a variety of agencies and skill sets in relation to assessments. The Assessment </w:t>
      </w:r>
      <w:r w:rsidR="00B55D04">
        <w:rPr>
          <w:rFonts w:cs="Arial"/>
          <w:sz w:val="24"/>
          <w:szCs w:val="20"/>
        </w:rPr>
        <w:t>Field Support Team (</w:t>
      </w:r>
      <w:r w:rsidRPr="007F38EA">
        <w:rPr>
          <w:rFonts w:cs="Arial"/>
          <w:sz w:val="24"/>
          <w:szCs w:val="20"/>
        </w:rPr>
        <w:t>FST</w:t>
      </w:r>
      <w:r w:rsidR="00B55D04">
        <w:rPr>
          <w:rFonts w:cs="Arial"/>
          <w:sz w:val="24"/>
          <w:szCs w:val="20"/>
        </w:rPr>
        <w:t>)</w:t>
      </w:r>
      <w:r w:rsidRPr="007F38EA">
        <w:rPr>
          <w:rFonts w:cs="Arial"/>
          <w:sz w:val="24"/>
          <w:szCs w:val="20"/>
        </w:rPr>
        <w:t xml:space="preserve"> member will be responsible for chairing the </w:t>
      </w:r>
      <w:proofErr w:type="spellStart"/>
      <w:r w:rsidRPr="007F38EA">
        <w:rPr>
          <w:rFonts w:cs="Arial"/>
          <w:sz w:val="24"/>
          <w:szCs w:val="20"/>
        </w:rPr>
        <w:t>TWiG</w:t>
      </w:r>
      <w:proofErr w:type="spellEnd"/>
      <w:r w:rsidRPr="007F38EA">
        <w:rPr>
          <w:rFonts w:cs="Arial"/>
          <w:sz w:val="24"/>
          <w:szCs w:val="20"/>
        </w:rPr>
        <w:t xml:space="preserve">. Members should come at a minimum from NGOs, UN agencies, and IOs, but </w:t>
      </w:r>
      <w:r w:rsidR="003C36A7" w:rsidRPr="007F38EA">
        <w:rPr>
          <w:rFonts w:cs="Arial"/>
          <w:sz w:val="24"/>
          <w:szCs w:val="20"/>
        </w:rPr>
        <w:t xml:space="preserve">relevant </w:t>
      </w:r>
      <w:r w:rsidRPr="007F38EA">
        <w:rPr>
          <w:rFonts w:cs="Arial"/>
          <w:sz w:val="24"/>
          <w:szCs w:val="20"/>
        </w:rPr>
        <w:t>academic or research represent</w:t>
      </w:r>
      <w:r w:rsidR="006E1988" w:rsidRPr="007F38EA">
        <w:rPr>
          <w:rFonts w:cs="Arial"/>
          <w:sz w:val="24"/>
          <w:szCs w:val="20"/>
        </w:rPr>
        <w:t xml:space="preserve">atives will also be encouraged. The final composition of this </w:t>
      </w:r>
      <w:proofErr w:type="spellStart"/>
      <w:r w:rsidR="006E1988" w:rsidRPr="007F38EA">
        <w:rPr>
          <w:rFonts w:cs="Arial"/>
          <w:sz w:val="24"/>
          <w:szCs w:val="20"/>
        </w:rPr>
        <w:t>TWiG</w:t>
      </w:r>
      <w:proofErr w:type="spellEnd"/>
      <w:r w:rsidR="006E1988" w:rsidRPr="007F38EA">
        <w:rPr>
          <w:rFonts w:cs="Arial"/>
          <w:sz w:val="24"/>
          <w:szCs w:val="20"/>
        </w:rPr>
        <w:t xml:space="preserve"> will be reviewed and agreed by the </w:t>
      </w:r>
      <w:r w:rsidR="00B55D04">
        <w:rPr>
          <w:rFonts w:cs="Arial"/>
          <w:sz w:val="24"/>
          <w:szCs w:val="20"/>
        </w:rPr>
        <w:t>Strategic Advisory Group (</w:t>
      </w:r>
      <w:r w:rsidR="006E1988" w:rsidRPr="007F38EA">
        <w:rPr>
          <w:rFonts w:cs="Arial"/>
          <w:sz w:val="24"/>
          <w:szCs w:val="20"/>
        </w:rPr>
        <w:t>SAG</w:t>
      </w:r>
      <w:r w:rsidR="00B55D04">
        <w:rPr>
          <w:rFonts w:cs="Arial"/>
          <w:sz w:val="24"/>
          <w:szCs w:val="20"/>
        </w:rPr>
        <w:t>)</w:t>
      </w:r>
      <w:r w:rsidR="003C36A7" w:rsidRPr="007F38EA">
        <w:rPr>
          <w:rFonts w:cs="Arial"/>
          <w:sz w:val="24"/>
          <w:szCs w:val="20"/>
        </w:rPr>
        <w:t>.</w:t>
      </w:r>
    </w:p>
    <w:p w14:paraId="3E408A68" w14:textId="451C6336" w:rsidR="003C36A7" w:rsidRPr="007F38EA" w:rsidRDefault="003C36A7" w:rsidP="007F38EA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  <w:r w:rsidRPr="007F38EA">
        <w:rPr>
          <w:rFonts w:cs="Arial"/>
          <w:sz w:val="24"/>
          <w:szCs w:val="20"/>
        </w:rPr>
        <w:t xml:space="preserve">Beyond the </w:t>
      </w:r>
      <w:proofErr w:type="spellStart"/>
      <w:r w:rsidRPr="007F38EA">
        <w:rPr>
          <w:rFonts w:cs="Arial"/>
          <w:sz w:val="24"/>
          <w:szCs w:val="20"/>
        </w:rPr>
        <w:t>TWiG</w:t>
      </w:r>
      <w:proofErr w:type="spellEnd"/>
      <w:r w:rsidRPr="007F38EA">
        <w:rPr>
          <w:rFonts w:cs="Arial"/>
          <w:sz w:val="24"/>
          <w:szCs w:val="20"/>
        </w:rPr>
        <w:t xml:space="preserve"> membership, it is expected that relevant individuals </w:t>
      </w:r>
      <w:r w:rsidR="00F375C4" w:rsidRPr="007F38EA">
        <w:rPr>
          <w:rFonts w:cs="Arial"/>
          <w:sz w:val="24"/>
          <w:szCs w:val="20"/>
        </w:rPr>
        <w:t xml:space="preserve">or institutions </w:t>
      </w:r>
      <w:r w:rsidRPr="007F38EA">
        <w:rPr>
          <w:rFonts w:cs="Arial"/>
          <w:sz w:val="24"/>
          <w:szCs w:val="20"/>
        </w:rPr>
        <w:t xml:space="preserve">will be invited to contribute on specific aspects of the </w:t>
      </w:r>
      <w:proofErr w:type="spellStart"/>
      <w:r w:rsidRPr="007F38EA">
        <w:rPr>
          <w:rFonts w:cs="Arial"/>
          <w:sz w:val="24"/>
          <w:szCs w:val="20"/>
        </w:rPr>
        <w:t>TWiG</w:t>
      </w:r>
      <w:proofErr w:type="spellEnd"/>
      <w:r w:rsidRPr="007F38EA">
        <w:rPr>
          <w:rFonts w:cs="Arial"/>
          <w:sz w:val="24"/>
          <w:szCs w:val="20"/>
        </w:rPr>
        <w:t xml:space="preserve"> </w:t>
      </w:r>
      <w:proofErr w:type="spellStart"/>
      <w:r w:rsidRPr="007F38EA">
        <w:rPr>
          <w:rFonts w:cs="Arial"/>
          <w:sz w:val="24"/>
          <w:szCs w:val="20"/>
        </w:rPr>
        <w:t>workplan</w:t>
      </w:r>
      <w:proofErr w:type="spellEnd"/>
      <w:r w:rsidRPr="007F38EA">
        <w:rPr>
          <w:rFonts w:cs="Arial"/>
          <w:sz w:val="24"/>
          <w:szCs w:val="20"/>
        </w:rPr>
        <w:t xml:space="preserve"> as and when needed.</w:t>
      </w:r>
    </w:p>
    <w:p w14:paraId="0C92FE99" w14:textId="77777777" w:rsidR="00DE791F" w:rsidRDefault="00DE791F" w:rsidP="00DE7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</w:p>
    <w:p w14:paraId="5981164C" w14:textId="484142CB" w:rsidR="007F38EA" w:rsidRDefault="00DE791F" w:rsidP="007F38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0"/>
        </w:rPr>
      </w:pPr>
      <w:r w:rsidRPr="00DE791F">
        <w:rPr>
          <w:rFonts w:cs="Arial"/>
          <w:b/>
          <w:sz w:val="24"/>
          <w:szCs w:val="20"/>
        </w:rPr>
        <w:t>Duration</w:t>
      </w:r>
    </w:p>
    <w:p w14:paraId="2A14E242" w14:textId="47F8F6A2" w:rsidR="00DE791F" w:rsidRPr="007F38EA" w:rsidRDefault="00DE791F" w:rsidP="007F38E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  <w:r w:rsidRPr="007F38EA">
        <w:rPr>
          <w:rFonts w:cs="Arial"/>
          <w:sz w:val="24"/>
          <w:szCs w:val="20"/>
        </w:rPr>
        <w:t xml:space="preserve">The </w:t>
      </w:r>
      <w:proofErr w:type="spellStart"/>
      <w:r w:rsidRPr="007F38EA">
        <w:rPr>
          <w:rFonts w:cs="Arial"/>
          <w:sz w:val="24"/>
          <w:szCs w:val="20"/>
        </w:rPr>
        <w:t>TwiG</w:t>
      </w:r>
      <w:proofErr w:type="spellEnd"/>
      <w:r w:rsidRPr="007F38EA">
        <w:rPr>
          <w:rFonts w:cs="Arial"/>
          <w:sz w:val="24"/>
          <w:szCs w:val="20"/>
        </w:rPr>
        <w:t xml:space="preserve"> will initially commit to a 1 year work plan and duration for activities and participation. By </w:t>
      </w:r>
      <w:r w:rsidR="007F38EA" w:rsidRPr="007F38EA">
        <w:rPr>
          <w:rFonts w:cs="Arial"/>
          <w:sz w:val="24"/>
          <w:szCs w:val="20"/>
        </w:rPr>
        <w:t xml:space="preserve">then, </w:t>
      </w:r>
      <w:r w:rsidRPr="007F38EA">
        <w:rPr>
          <w:rFonts w:cs="Arial"/>
          <w:sz w:val="24"/>
          <w:szCs w:val="20"/>
        </w:rPr>
        <w:t>agreed outputs,</w:t>
      </w:r>
      <w:r w:rsidR="007F38EA" w:rsidRPr="007F38EA">
        <w:rPr>
          <w:rFonts w:cs="Arial"/>
          <w:sz w:val="24"/>
          <w:szCs w:val="20"/>
        </w:rPr>
        <w:t xml:space="preserve"> according to the work plan </w:t>
      </w:r>
      <w:r w:rsidRPr="007F38EA">
        <w:rPr>
          <w:rFonts w:cs="Arial"/>
          <w:sz w:val="24"/>
          <w:szCs w:val="20"/>
        </w:rPr>
        <w:t>validated by the SAG, will be reviewed for progress</w:t>
      </w:r>
      <w:r w:rsidR="00410CF3" w:rsidRPr="007F38EA">
        <w:rPr>
          <w:rFonts w:cs="Arial"/>
          <w:sz w:val="24"/>
          <w:szCs w:val="20"/>
        </w:rPr>
        <w:t xml:space="preserve"> to measure achievements and review need for continuation.</w:t>
      </w:r>
      <w:r w:rsidRPr="007F38EA">
        <w:rPr>
          <w:rFonts w:cs="Arial"/>
          <w:sz w:val="24"/>
          <w:szCs w:val="20"/>
        </w:rPr>
        <w:t xml:space="preserve"> </w:t>
      </w:r>
    </w:p>
    <w:p w14:paraId="7E38C4EE" w14:textId="77777777" w:rsidR="00FB1161" w:rsidRDefault="00FB1161" w:rsidP="00DE79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</w:p>
    <w:p w14:paraId="596F8455" w14:textId="4922BD61" w:rsidR="00B70C72" w:rsidRPr="007F38EA" w:rsidRDefault="00FB1161" w:rsidP="007F38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4"/>
          <w:szCs w:val="20"/>
        </w:rPr>
      </w:pPr>
      <w:r w:rsidRPr="006E1988">
        <w:rPr>
          <w:rFonts w:cs="Arial"/>
          <w:b/>
          <w:sz w:val="24"/>
          <w:szCs w:val="20"/>
        </w:rPr>
        <w:t>Work</w:t>
      </w:r>
      <w:r w:rsidR="00E96527">
        <w:rPr>
          <w:rFonts w:cs="Arial"/>
          <w:b/>
          <w:sz w:val="24"/>
          <w:szCs w:val="20"/>
        </w:rPr>
        <w:t xml:space="preserve"> Modalities</w:t>
      </w:r>
    </w:p>
    <w:p w14:paraId="240E8754" w14:textId="1103D3D8" w:rsidR="00FB1161" w:rsidRPr="007405A4" w:rsidRDefault="00FB1161" w:rsidP="007F38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  <w:proofErr w:type="spellStart"/>
      <w:r w:rsidRPr="007405A4">
        <w:rPr>
          <w:rFonts w:cs="Arial"/>
          <w:sz w:val="24"/>
          <w:szCs w:val="20"/>
        </w:rPr>
        <w:t>TWiG</w:t>
      </w:r>
      <w:proofErr w:type="spellEnd"/>
      <w:r w:rsidRPr="007405A4">
        <w:rPr>
          <w:rFonts w:cs="Arial"/>
          <w:sz w:val="24"/>
          <w:szCs w:val="20"/>
        </w:rPr>
        <w:t xml:space="preserve"> meetings </w:t>
      </w:r>
      <w:r w:rsidR="007F38EA">
        <w:rPr>
          <w:rFonts w:cs="Arial"/>
          <w:sz w:val="24"/>
          <w:szCs w:val="20"/>
        </w:rPr>
        <w:t>will ideally</w:t>
      </w:r>
      <w:r w:rsidRPr="007405A4">
        <w:rPr>
          <w:rFonts w:cs="Arial"/>
          <w:sz w:val="24"/>
          <w:szCs w:val="20"/>
        </w:rPr>
        <w:t xml:space="preserve"> occur </w:t>
      </w:r>
      <w:r w:rsidR="007F38EA">
        <w:rPr>
          <w:rFonts w:cs="Arial"/>
          <w:sz w:val="24"/>
          <w:szCs w:val="20"/>
        </w:rPr>
        <w:t>on a monthly basis</w:t>
      </w:r>
      <w:r w:rsidR="005C2199" w:rsidRPr="007405A4">
        <w:rPr>
          <w:rFonts w:cs="Arial"/>
          <w:sz w:val="24"/>
          <w:szCs w:val="20"/>
        </w:rPr>
        <w:t xml:space="preserve"> or ad hoc in case of specific issues</w:t>
      </w:r>
      <w:r w:rsidRPr="007405A4">
        <w:rPr>
          <w:rFonts w:cs="Arial"/>
          <w:sz w:val="24"/>
          <w:szCs w:val="20"/>
        </w:rPr>
        <w:t xml:space="preserve">. Meetings will be held virtually and </w:t>
      </w:r>
      <w:proofErr w:type="spellStart"/>
      <w:r w:rsidR="00DE791F" w:rsidRPr="007405A4">
        <w:rPr>
          <w:rFonts w:cs="Arial"/>
          <w:sz w:val="24"/>
          <w:szCs w:val="20"/>
        </w:rPr>
        <w:t>minute</w:t>
      </w:r>
      <w:r w:rsidR="00DE791F">
        <w:rPr>
          <w:rFonts w:cs="Arial"/>
          <w:sz w:val="24"/>
          <w:szCs w:val="20"/>
        </w:rPr>
        <w:t>d</w:t>
      </w:r>
      <w:proofErr w:type="spellEnd"/>
      <w:r w:rsidRPr="007405A4">
        <w:rPr>
          <w:rFonts w:cs="Arial"/>
          <w:sz w:val="24"/>
          <w:szCs w:val="20"/>
        </w:rPr>
        <w:t xml:space="preserve"> by m</w:t>
      </w:r>
      <w:r w:rsidR="007F38EA">
        <w:rPr>
          <w:rFonts w:cs="Arial"/>
          <w:sz w:val="24"/>
          <w:szCs w:val="20"/>
        </w:rPr>
        <w:t>embers on a rotating basis</w:t>
      </w:r>
    </w:p>
    <w:p w14:paraId="5C6A6A45" w14:textId="1183FDCF" w:rsidR="007405A4" w:rsidRDefault="007405A4" w:rsidP="00DE791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  <w:r w:rsidRPr="007405A4">
        <w:rPr>
          <w:rFonts w:cs="Arial"/>
          <w:sz w:val="24"/>
          <w:szCs w:val="20"/>
        </w:rPr>
        <w:t xml:space="preserve">Commit up to 10 days of work a year to meet the </w:t>
      </w:r>
      <w:proofErr w:type="spellStart"/>
      <w:r w:rsidR="003C36A7">
        <w:rPr>
          <w:rFonts w:cs="Arial"/>
          <w:sz w:val="24"/>
          <w:szCs w:val="20"/>
        </w:rPr>
        <w:t>TWiG</w:t>
      </w:r>
      <w:proofErr w:type="spellEnd"/>
      <w:r w:rsidR="003C36A7">
        <w:rPr>
          <w:rFonts w:cs="Arial"/>
          <w:sz w:val="24"/>
          <w:szCs w:val="20"/>
        </w:rPr>
        <w:t xml:space="preserve"> </w:t>
      </w:r>
      <w:r w:rsidRPr="007405A4">
        <w:rPr>
          <w:rFonts w:cs="Arial"/>
          <w:sz w:val="24"/>
          <w:szCs w:val="20"/>
        </w:rPr>
        <w:t>responsibilities</w:t>
      </w:r>
      <w:r w:rsidR="003C36A7">
        <w:rPr>
          <w:rFonts w:cs="Arial"/>
          <w:sz w:val="24"/>
          <w:szCs w:val="20"/>
        </w:rPr>
        <w:t xml:space="preserve"> and outputs</w:t>
      </w:r>
    </w:p>
    <w:p w14:paraId="797BC137" w14:textId="0ACAF054" w:rsidR="00DE791F" w:rsidRDefault="00DE791F" w:rsidP="007F38E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Feedback on documents and emails</w:t>
      </w:r>
      <w:r w:rsidR="007F38EA">
        <w:rPr>
          <w:rFonts w:cs="Arial"/>
          <w:sz w:val="24"/>
          <w:szCs w:val="20"/>
        </w:rPr>
        <w:t xml:space="preserve"> exchanges as and when required</w:t>
      </w:r>
      <w:r>
        <w:rPr>
          <w:rFonts w:cs="Arial"/>
          <w:sz w:val="24"/>
          <w:szCs w:val="20"/>
        </w:rPr>
        <w:t xml:space="preserve"> </w:t>
      </w:r>
    </w:p>
    <w:p w14:paraId="54AA4E39" w14:textId="1858BA65" w:rsidR="007405A4" w:rsidRPr="00FE6684" w:rsidRDefault="007405A4" w:rsidP="00B55D0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0"/>
        </w:rPr>
      </w:pPr>
      <w:r w:rsidRPr="00FE6684">
        <w:rPr>
          <w:rFonts w:cs="Arial"/>
          <w:sz w:val="24"/>
          <w:szCs w:val="20"/>
        </w:rPr>
        <w:t xml:space="preserve">Actively and consistently participate in meetings/teleconferences and provide timely contributions to </w:t>
      </w:r>
      <w:proofErr w:type="spellStart"/>
      <w:r w:rsidR="003C36A7" w:rsidRPr="00FE6684">
        <w:rPr>
          <w:rFonts w:cs="Arial"/>
          <w:sz w:val="24"/>
          <w:szCs w:val="20"/>
        </w:rPr>
        <w:t>TWiG</w:t>
      </w:r>
      <w:proofErr w:type="spellEnd"/>
      <w:r w:rsidR="003C36A7" w:rsidRPr="00FE6684">
        <w:rPr>
          <w:rFonts w:cs="Arial"/>
          <w:sz w:val="24"/>
          <w:szCs w:val="20"/>
        </w:rPr>
        <w:t xml:space="preserve"> </w:t>
      </w:r>
      <w:r w:rsidR="00227CE2" w:rsidRPr="00FE6684">
        <w:rPr>
          <w:rFonts w:cs="Arial"/>
          <w:sz w:val="24"/>
          <w:szCs w:val="20"/>
        </w:rPr>
        <w:t>work plan</w:t>
      </w:r>
      <w:r w:rsidR="00DE791F" w:rsidRPr="00FE6684">
        <w:rPr>
          <w:rFonts w:cs="Arial"/>
          <w:sz w:val="24"/>
          <w:szCs w:val="20"/>
        </w:rPr>
        <w:t xml:space="preserve"> / </w:t>
      </w:r>
      <w:r w:rsidR="003C36A7" w:rsidRPr="00FE6684">
        <w:rPr>
          <w:rFonts w:cs="Arial"/>
          <w:sz w:val="24"/>
          <w:szCs w:val="20"/>
        </w:rPr>
        <w:t>outputs</w:t>
      </w:r>
      <w:r w:rsidRPr="00FE6684">
        <w:rPr>
          <w:rFonts w:cs="Arial"/>
          <w:sz w:val="24"/>
          <w:szCs w:val="20"/>
        </w:rPr>
        <w:t>.</w:t>
      </w:r>
      <w:r w:rsidR="00FE6684" w:rsidRPr="00FE6684">
        <w:rPr>
          <w:rFonts w:cs="Arial"/>
          <w:sz w:val="24"/>
          <w:szCs w:val="20"/>
        </w:rPr>
        <w:t xml:space="preserve"> </w:t>
      </w:r>
      <w:r w:rsidRPr="00FE6684">
        <w:rPr>
          <w:rFonts w:cs="Arial"/>
          <w:sz w:val="24"/>
          <w:szCs w:val="20"/>
        </w:rPr>
        <w:t xml:space="preserve">Demonstrate a commitment to the </w:t>
      </w:r>
      <w:proofErr w:type="spellStart"/>
      <w:r w:rsidRPr="00FE6684">
        <w:rPr>
          <w:rFonts w:cs="Arial"/>
          <w:sz w:val="24"/>
          <w:szCs w:val="20"/>
        </w:rPr>
        <w:t>TWiG</w:t>
      </w:r>
      <w:proofErr w:type="spellEnd"/>
      <w:r w:rsidRPr="00FE6684">
        <w:rPr>
          <w:rFonts w:cs="Arial"/>
          <w:sz w:val="24"/>
          <w:szCs w:val="20"/>
        </w:rPr>
        <w:t xml:space="preserve"> by contributing to activities </w:t>
      </w:r>
    </w:p>
    <w:p w14:paraId="0493CF7A" w14:textId="77777777" w:rsidR="00FB1161" w:rsidRDefault="00FB1161" w:rsidP="00F375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</w:rPr>
      </w:pPr>
    </w:p>
    <w:p w14:paraId="5AE2C8AE" w14:textId="77777777" w:rsidR="007F38EA" w:rsidRPr="00F375C4" w:rsidRDefault="007F38EA" w:rsidP="00F375C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</w:rPr>
      </w:pPr>
    </w:p>
    <w:p w14:paraId="358B311F" w14:textId="77777777" w:rsidR="00D55F1E" w:rsidRPr="006E1988" w:rsidRDefault="00D55F1E" w:rsidP="00DE791F">
      <w:pPr>
        <w:jc w:val="both"/>
        <w:rPr>
          <w:b/>
          <w:sz w:val="24"/>
        </w:rPr>
      </w:pPr>
      <w:r w:rsidRPr="006E1988">
        <w:rPr>
          <w:b/>
          <w:sz w:val="24"/>
        </w:rPr>
        <w:lastRenderedPageBreak/>
        <w:t>Responsibilities</w:t>
      </w:r>
    </w:p>
    <w:p w14:paraId="37E835C6" w14:textId="32ECCD80" w:rsidR="00001FE4" w:rsidRDefault="006E1988" w:rsidP="007F38E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F38EA">
        <w:rPr>
          <w:sz w:val="24"/>
          <w:szCs w:val="24"/>
        </w:rPr>
        <w:t>dentify</w:t>
      </w:r>
      <w:r w:rsidR="00001FE4" w:rsidRPr="00882574">
        <w:rPr>
          <w:sz w:val="24"/>
          <w:szCs w:val="24"/>
        </w:rPr>
        <w:t xml:space="preserve"> priority gaps in </w:t>
      </w:r>
      <w:r w:rsidR="00FB1161">
        <w:rPr>
          <w:sz w:val="24"/>
          <w:szCs w:val="24"/>
        </w:rPr>
        <w:t xml:space="preserve">current </w:t>
      </w:r>
      <w:r w:rsidR="00001FE4" w:rsidRPr="00882574">
        <w:rPr>
          <w:sz w:val="24"/>
          <w:szCs w:val="24"/>
        </w:rPr>
        <w:t>assessment</w:t>
      </w:r>
      <w:r w:rsidR="00FB1161">
        <w:rPr>
          <w:sz w:val="24"/>
          <w:szCs w:val="24"/>
        </w:rPr>
        <w:t xml:space="preserve"> practice</w:t>
      </w:r>
      <w:r w:rsidR="004F5D1B" w:rsidRPr="00882574">
        <w:rPr>
          <w:sz w:val="24"/>
          <w:szCs w:val="24"/>
        </w:rPr>
        <w:t>s</w:t>
      </w:r>
      <w:r w:rsidR="003B4862">
        <w:rPr>
          <w:rStyle w:val="FootnoteReference"/>
          <w:sz w:val="24"/>
          <w:szCs w:val="24"/>
        </w:rPr>
        <w:footnoteReference w:id="1"/>
      </w:r>
      <w:r w:rsidR="00113661">
        <w:rPr>
          <w:sz w:val="24"/>
          <w:szCs w:val="24"/>
        </w:rPr>
        <w:t xml:space="preserve"> </w:t>
      </w:r>
    </w:p>
    <w:p w14:paraId="735A9F79" w14:textId="4BF7658E" w:rsidR="00956472" w:rsidRDefault="007F38EA" w:rsidP="00DE79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956472">
        <w:rPr>
          <w:sz w:val="24"/>
          <w:szCs w:val="24"/>
        </w:rPr>
        <w:t xml:space="preserve"> bottlenecks in joint and harmonized assessments and development of approaches to address these </w:t>
      </w:r>
    </w:p>
    <w:p w14:paraId="6263B9A8" w14:textId="3DA6B30E" w:rsidR="00F16AA6" w:rsidRPr="00882574" w:rsidRDefault="007F38EA" w:rsidP="00DE79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F16AA6">
        <w:rPr>
          <w:sz w:val="24"/>
          <w:szCs w:val="24"/>
        </w:rPr>
        <w:t xml:space="preserve"> potential partnership and modalities to improve assessment capacity</w:t>
      </w:r>
      <w:r w:rsidR="00956472">
        <w:rPr>
          <w:sz w:val="24"/>
          <w:szCs w:val="24"/>
        </w:rPr>
        <w:t xml:space="preserve"> and facilitate joint / harmonized assessments</w:t>
      </w:r>
      <w:r w:rsidR="00F16AA6">
        <w:rPr>
          <w:sz w:val="24"/>
          <w:szCs w:val="24"/>
        </w:rPr>
        <w:t xml:space="preserve"> at field level</w:t>
      </w:r>
    </w:p>
    <w:p w14:paraId="049E31F8" w14:textId="5339DB83" w:rsidR="00586EC4" w:rsidRDefault="007F38EA" w:rsidP="007F38EA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Design </w:t>
      </w:r>
      <w:r w:rsidR="00882574" w:rsidRPr="00882574">
        <w:rPr>
          <w:sz w:val="24"/>
          <w:szCs w:val="24"/>
        </w:rPr>
        <w:t>a work</w:t>
      </w:r>
      <w:r w:rsidR="00672B20">
        <w:rPr>
          <w:sz w:val="24"/>
          <w:szCs w:val="24"/>
        </w:rPr>
        <w:t xml:space="preserve"> </w:t>
      </w:r>
      <w:r w:rsidR="00882574" w:rsidRPr="00882574">
        <w:rPr>
          <w:sz w:val="24"/>
          <w:szCs w:val="24"/>
        </w:rPr>
        <w:t>plan based on agreed prioritized needs</w:t>
      </w:r>
    </w:p>
    <w:p w14:paraId="43EF9EF5" w14:textId="2100E5A1" w:rsidR="00672B20" w:rsidRPr="00672B20" w:rsidRDefault="00672B20" w:rsidP="00DE79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72B20">
        <w:rPr>
          <w:sz w:val="24"/>
          <w:szCs w:val="24"/>
        </w:rPr>
        <w:t xml:space="preserve">Review, </w:t>
      </w:r>
      <w:r w:rsidR="00C650D0">
        <w:rPr>
          <w:sz w:val="24"/>
          <w:szCs w:val="24"/>
        </w:rPr>
        <w:t>advise</w:t>
      </w:r>
      <w:r w:rsidRPr="00672B20">
        <w:rPr>
          <w:sz w:val="24"/>
          <w:szCs w:val="24"/>
        </w:rPr>
        <w:t xml:space="preserve"> and oversee the implementation </w:t>
      </w:r>
      <w:r>
        <w:rPr>
          <w:sz w:val="24"/>
          <w:szCs w:val="24"/>
        </w:rPr>
        <w:t>of acti</w:t>
      </w:r>
      <w:r w:rsidR="001D3F50">
        <w:rPr>
          <w:sz w:val="24"/>
          <w:szCs w:val="24"/>
        </w:rPr>
        <w:t>vities related to assessment</w:t>
      </w:r>
      <w:r w:rsidR="00C650D0">
        <w:rPr>
          <w:sz w:val="24"/>
          <w:szCs w:val="24"/>
        </w:rPr>
        <w:t xml:space="preserve"> within the </w:t>
      </w:r>
      <w:r w:rsidR="00B55D04">
        <w:rPr>
          <w:sz w:val="24"/>
          <w:szCs w:val="24"/>
        </w:rPr>
        <w:t>Global WASH Cluster (</w:t>
      </w:r>
      <w:r w:rsidR="00C650D0">
        <w:rPr>
          <w:sz w:val="24"/>
          <w:szCs w:val="24"/>
        </w:rPr>
        <w:t>GWC</w:t>
      </w:r>
      <w:r w:rsidR="00B55D04">
        <w:rPr>
          <w:sz w:val="24"/>
          <w:szCs w:val="24"/>
        </w:rPr>
        <w:t>)</w:t>
      </w:r>
      <w:r w:rsidR="00C650D0">
        <w:rPr>
          <w:sz w:val="24"/>
          <w:szCs w:val="24"/>
        </w:rPr>
        <w:t xml:space="preserve"> and FST </w:t>
      </w:r>
      <w:r w:rsidR="00227CE2">
        <w:rPr>
          <w:sz w:val="24"/>
          <w:szCs w:val="24"/>
        </w:rPr>
        <w:t>work plans</w:t>
      </w:r>
    </w:p>
    <w:p w14:paraId="5AB1E8C1" w14:textId="30450B7B" w:rsidR="005C2199" w:rsidRDefault="003B4862" w:rsidP="00DE791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and approve new </w:t>
      </w:r>
      <w:r w:rsidR="00DE791F">
        <w:rPr>
          <w:sz w:val="24"/>
          <w:szCs w:val="24"/>
        </w:rPr>
        <w:t>guidance</w:t>
      </w:r>
      <w:r>
        <w:rPr>
          <w:sz w:val="24"/>
          <w:szCs w:val="24"/>
        </w:rPr>
        <w:t xml:space="preserve"> and tools developed</w:t>
      </w:r>
      <w:r w:rsidR="00C650D0">
        <w:rPr>
          <w:sz w:val="24"/>
          <w:szCs w:val="24"/>
        </w:rPr>
        <w:t xml:space="preserve"> as part of the </w:t>
      </w:r>
      <w:proofErr w:type="spellStart"/>
      <w:r w:rsidR="00C650D0">
        <w:rPr>
          <w:sz w:val="24"/>
          <w:szCs w:val="24"/>
        </w:rPr>
        <w:t>TWiG</w:t>
      </w:r>
      <w:proofErr w:type="spellEnd"/>
      <w:r w:rsidR="00C650D0">
        <w:rPr>
          <w:sz w:val="24"/>
          <w:szCs w:val="24"/>
        </w:rPr>
        <w:t xml:space="preserve"> </w:t>
      </w:r>
      <w:r w:rsidR="00227CE2">
        <w:rPr>
          <w:sz w:val="24"/>
          <w:szCs w:val="24"/>
        </w:rPr>
        <w:t>work plan</w:t>
      </w:r>
    </w:p>
    <w:p w14:paraId="763B2673" w14:textId="77777777" w:rsidR="00113661" w:rsidRPr="00882574" w:rsidRDefault="00113661" w:rsidP="0011366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Pr="00113661">
        <w:rPr>
          <w:sz w:val="24"/>
          <w:szCs w:val="24"/>
        </w:rPr>
        <w:t>internal sharing</w:t>
      </w:r>
      <w:r>
        <w:rPr>
          <w:sz w:val="24"/>
          <w:szCs w:val="24"/>
        </w:rPr>
        <w:t xml:space="preserve"> and ease of access of WASH assessment reports and</w:t>
      </w:r>
      <w:r w:rsidR="00F16AA6">
        <w:rPr>
          <w:sz w:val="24"/>
          <w:szCs w:val="24"/>
        </w:rPr>
        <w:t xml:space="preserve"> related</w:t>
      </w:r>
      <w:r>
        <w:rPr>
          <w:sz w:val="24"/>
          <w:szCs w:val="24"/>
        </w:rPr>
        <w:t xml:space="preserve"> tools</w:t>
      </w:r>
    </w:p>
    <w:p w14:paraId="6B49BC7B" w14:textId="3C47EFA2" w:rsidR="00C258F3" w:rsidRDefault="00C258F3" w:rsidP="007F38EA">
      <w:pPr>
        <w:pStyle w:val="ListParagraph"/>
        <w:numPr>
          <w:ilvl w:val="0"/>
          <w:numId w:val="2"/>
        </w:numPr>
        <w:spacing w:line="240" w:lineRule="auto"/>
        <w:jc w:val="both"/>
      </w:pPr>
      <w:r w:rsidRPr="00F375C4">
        <w:rPr>
          <w:sz w:val="24"/>
          <w:szCs w:val="24"/>
        </w:rPr>
        <w:t xml:space="preserve">Ensure </w:t>
      </w:r>
      <w:r>
        <w:rPr>
          <w:sz w:val="24"/>
          <w:szCs w:val="24"/>
        </w:rPr>
        <w:t xml:space="preserve">promotion and </w:t>
      </w:r>
      <w:r w:rsidRPr="00F375C4">
        <w:rPr>
          <w:sz w:val="24"/>
          <w:szCs w:val="24"/>
        </w:rPr>
        <w:t>utilization of participatory and community-based approaches in sectoral needs assessments</w:t>
      </w:r>
      <w:r w:rsidRPr="007F02C7">
        <w:rPr>
          <w:sz w:val="24"/>
          <w:szCs w:val="24"/>
        </w:rPr>
        <w:t xml:space="preserve"> and </w:t>
      </w:r>
      <w:r w:rsidRPr="005B1E69">
        <w:rPr>
          <w:sz w:val="24"/>
          <w:szCs w:val="24"/>
        </w:rPr>
        <w:t>analysis</w:t>
      </w:r>
      <w:r w:rsidRPr="00AB0686">
        <w:rPr>
          <w:sz w:val="24"/>
          <w:szCs w:val="24"/>
        </w:rPr>
        <w:t xml:space="preserve"> </w:t>
      </w:r>
    </w:p>
    <w:p w14:paraId="06D0B472" w14:textId="3EE7E557" w:rsidR="00C258F3" w:rsidRPr="00F375C4" w:rsidRDefault="00C258F3" w:rsidP="007F38EA">
      <w:pPr>
        <w:pStyle w:val="ListParagraph"/>
        <w:numPr>
          <w:ilvl w:val="0"/>
          <w:numId w:val="2"/>
        </w:numPr>
        <w:spacing w:line="240" w:lineRule="auto"/>
        <w:jc w:val="both"/>
      </w:pPr>
      <w:r>
        <w:rPr>
          <w:sz w:val="24"/>
          <w:szCs w:val="24"/>
        </w:rPr>
        <w:t xml:space="preserve">Ensure that cross cutting issues (gender, age, HIV…) are mainstreamed in the WASH assessment tools </w:t>
      </w:r>
      <w:r w:rsidR="007F38EA">
        <w:rPr>
          <w:sz w:val="24"/>
          <w:szCs w:val="24"/>
        </w:rPr>
        <w:t>(ex:</w:t>
      </w:r>
      <w:r>
        <w:rPr>
          <w:sz w:val="24"/>
          <w:szCs w:val="24"/>
        </w:rPr>
        <w:t xml:space="preserve"> sex and age disaggregated data</w:t>
      </w:r>
      <w:r w:rsidR="007F38EA">
        <w:rPr>
          <w:sz w:val="24"/>
          <w:szCs w:val="24"/>
        </w:rPr>
        <w:t>)</w:t>
      </w:r>
      <w:r>
        <w:rPr>
          <w:sz w:val="24"/>
          <w:szCs w:val="24"/>
        </w:rPr>
        <w:t xml:space="preserve"> but not limited to quantitative data</w:t>
      </w:r>
    </w:p>
    <w:p w14:paraId="596A6E09" w14:textId="0685C774" w:rsidR="00C258F3" w:rsidRDefault="00C258F3" w:rsidP="00C258F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Develop key practices and approaches to ensure that assessment findings are provided in formats able to effectively inform strategic planning</w:t>
      </w:r>
    </w:p>
    <w:p w14:paraId="3A87926E" w14:textId="11152CCD" w:rsidR="00C258F3" w:rsidRDefault="00C258F3" w:rsidP="00C258F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Work closely with Information Management to identify adequate indicators to better capture the impact of response, methods guidance, as well as w</w:t>
      </w:r>
      <w:r w:rsidR="007F38EA">
        <w:rPr>
          <w:sz w:val="24"/>
        </w:rPr>
        <w:t xml:space="preserve">ith regards tools and </w:t>
      </w:r>
      <w:r w:rsidR="00227CE2">
        <w:rPr>
          <w:sz w:val="24"/>
        </w:rPr>
        <w:t>software</w:t>
      </w:r>
      <w:r>
        <w:rPr>
          <w:sz w:val="24"/>
        </w:rPr>
        <w:t xml:space="preserve"> to ensure that periodic needs monitoring and reporting can be d</w:t>
      </w:r>
      <w:r w:rsidR="007F38EA">
        <w:rPr>
          <w:sz w:val="24"/>
        </w:rPr>
        <w:t>one easily, and ensure synergy</w:t>
      </w:r>
      <w:r>
        <w:rPr>
          <w:sz w:val="24"/>
        </w:rPr>
        <w:t xml:space="preserve"> and complementarity</w:t>
      </w:r>
    </w:p>
    <w:p w14:paraId="563F1106" w14:textId="77777777" w:rsidR="006E1988" w:rsidRPr="006E1988" w:rsidRDefault="00DE791F" w:rsidP="00DE79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B4862">
        <w:rPr>
          <w:sz w:val="24"/>
          <w:szCs w:val="24"/>
        </w:rPr>
        <w:t>ctively participating in the implementation of activities</w:t>
      </w:r>
      <w:r>
        <w:rPr>
          <w:sz w:val="24"/>
          <w:szCs w:val="24"/>
        </w:rPr>
        <w:t>, including:</w:t>
      </w:r>
      <w:r w:rsidR="003B4862">
        <w:rPr>
          <w:sz w:val="24"/>
          <w:szCs w:val="24"/>
        </w:rPr>
        <w:t xml:space="preserve"> </w:t>
      </w:r>
    </w:p>
    <w:p w14:paraId="4C7CE7C6" w14:textId="5391C2AC" w:rsidR="00FB1161" w:rsidRPr="006E1988" w:rsidRDefault="00C650D0" w:rsidP="00DE791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Field-t</w:t>
      </w:r>
      <w:r w:rsidR="00FB1161" w:rsidRPr="006E1988">
        <w:rPr>
          <w:sz w:val="24"/>
          <w:szCs w:val="24"/>
        </w:rPr>
        <w:t xml:space="preserve">esting and piloting of developed tools for further verification and refinement </w:t>
      </w:r>
    </w:p>
    <w:p w14:paraId="6ED4738A" w14:textId="488012BF" w:rsidR="00D55F1E" w:rsidRPr="00882574" w:rsidRDefault="00D55F1E" w:rsidP="00DE791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2574">
        <w:rPr>
          <w:sz w:val="24"/>
          <w:szCs w:val="24"/>
        </w:rPr>
        <w:t xml:space="preserve">Information Sharing </w:t>
      </w:r>
      <w:r w:rsidR="004F5D1B" w:rsidRPr="00882574">
        <w:rPr>
          <w:sz w:val="24"/>
          <w:szCs w:val="24"/>
        </w:rPr>
        <w:t>and Capacity building</w:t>
      </w:r>
      <w:r w:rsidR="00227CE2">
        <w:rPr>
          <w:sz w:val="24"/>
          <w:szCs w:val="24"/>
        </w:rPr>
        <w:t>;</w:t>
      </w:r>
    </w:p>
    <w:p w14:paraId="67616273" w14:textId="28D491CB" w:rsidR="004F5D1B" w:rsidRPr="006E1988" w:rsidRDefault="004F5D1B" w:rsidP="00227CE2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6E1988">
        <w:rPr>
          <w:sz w:val="24"/>
          <w:szCs w:val="24"/>
        </w:rPr>
        <w:t>Linkages with other clusters</w:t>
      </w:r>
      <w:r w:rsidR="00882574" w:rsidRPr="006E1988">
        <w:rPr>
          <w:sz w:val="24"/>
          <w:szCs w:val="24"/>
        </w:rPr>
        <w:t>, in pa</w:t>
      </w:r>
      <w:r w:rsidR="007F38EA">
        <w:rPr>
          <w:sz w:val="24"/>
          <w:szCs w:val="24"/>
        </w:rPr>
        <w:t>rticular health/shelter/</w:t>
      </w:r>
      <w:r w:rsidR="00DE791F">
        <w:rPr>
          <w:sz w:val="24"/>
          <w:szCs w:val="24"/>
        </w:rPr>
        <w:t xml:space="preserve">education, and </w:t>
      </w:r>
      <w:r w:rsidR="00C650D0">
        <w:rPr>
          <w:sz w:val="24"/>
          <w:szCs w:val="24"/>
        </w:rPr>
        <w:t xml:space="preserve">other joint/harmonized </w:t>
      </w:r>
      <w:r w:rsidRPr="006E1988">
        <w:rPr>
          <w:sz w:val="24"/>
          <w:szCs w:val="24"/>
        </w:rPr>
        <w:t>assessment initiatives</w:t>
      </w:r>
      <w:r w:rsidR="00F16AA6">
        <w:rPr>
          <w:sz w:val="24"/>
          <w:szCs w:val="24"/>
        </w:rPr>
        <w:t xml:space="preserve"> </w:t>
      </w:r>
      <w:r w:rsidR="00227CE2">
        <w:rPr>
          <w:sz w:val="24"/>
          <w:szCs w:val="24"/>
        </w:rPr>
        <w:t xml:space="preserve">and/or </w:t>
      </w:r>
      <w:proofErr w:type="spellStart"/>
      <w:r w:rsidR="00F16AA6">
        <w:rPr>
          <w:sz w:val="24"/>
          <w:szCs w:val="24"/>
        </w:rPr>
        <w:t>T</w:t>
      </w:r>
      <w:r w:rsidR="007F38EA">
        <w:rPr>
          <w:sz w:val="24"/>
          <w:szCs w:val="24"/>
        </w:rPr>
        <w:t>WiGs</w:t>
      </w:r>
      <w:proofErr w:type="spellEnd"/>
      <w:r w:rsidR="00C650D0">
        <w:rPr>
          <w:sz w:val="24"/>
          <w:szCs w:val="24"/>
        </w:rPr>
        <w:t xml:space="preserve"> such</w:t>
      </w:r>
      <w:r w:rsidR="00F16AA6">
        <w:rPr>
          <w:sz w:val="24"/>
          <w:szCs w:val="24"/>
        </w:rPr>
        <w:t xml:space="preserve"> as </w:t>
      </w:r>
      <w:r w:rsidR="00227CE2">
        <w:rPr>
          <w:sz w:val="24"/>
          <w:szCs w:val="24"/>
        </w:rPr>
        <w:t>Hygiene Promotion;</w:t>
      </w:r>
    </w:p>
    <w:p w14:paraId="1E0AD695" w14:textId="17175B45" w:rsidR="00586EC4" w:rsidRPr="00882574" w:rsidRDefault="00D55F1E" w:rsidP="007F38EA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2574">
        <w:rPr>
          <w:sz w:val="24"/>
          <w:szCs w:val="24"/>
        </w:rPr>
        <w:t>Support the</w:t>
      </w:r>
      <w:r w:rsidR="005B1E69">
        <w:rPr>
          <w:sz w:val="24"/>
          <w:szCs w:val="24"/>
        </w:rPr>
        <w:t xml:space="preserve"> </w:t>
      </w:r>
      <w:r w:rsidR="007F38EA">
        <w:rPr>
          <w:sz w:val="24"/>
          <w:szCs w:val="24"/>
        </w:rPr>
        <w:t>GWC</w:t>
      </w:r>
      <w:r w:rsidRPr="00882574">
        <w:rPr>
          <w:sz w:val="24"/>
          <w:szCs w:val="24"/>
        </w:rPr>
        <w:t xml:space="preserve"> </w:t>
      </w:r>
      <w:r w:rsidR="00882574" w:rsidRPr="00882574">
        <w:rPr>
          <w:sz w:val="24"/>
          <w:szCs w:val="24"/>
        </w:rPr>
        <w:t>in promoting standards and tools within member agencies; d</w:t>
      </w:r>
      <w:r w:rsidR="00586EC4" w:rsidRPr="00882574">
        <w:rPr>
          <w:sz w:val="24"/>
          <w:szCs w:val="24"/>
        </w:rPr>
        <w:t xml:space="preserve">isseminate, promote </w:t>
      </w:r>
      <w:r w:rsidR="007F38EA">
        <w:rPr>
          <w:sz w:val="24"/>
          <w:szCs w:val="24"/>
        </w:rPr>
        <w:t xml:space="preserve">and </w:t>
      </w:r>
      <w:r w:rsidR="00586EC4" w:rsidRPr="00882574">
        <w:rPr>
          <w:sz w:val="24"/>
          <w:szCs w:val="24"/>
        </w:rPr>
        <w:t>explain the use of strategi</w:t>
      </w:r>
      <w:r w:rsidR="00882574" w:rsidRPr="00882574">
        <w:rPr>
          <w:sz w:val="24"/>
          <w:szCs w:val="24"/>
        </w:rPr>
        <w:t xml:space="preserve">c tools produced by the </w:t>
      </w:r>
      <w:r w:rsidR="00C650D0">
        <w:rPr>
          <w:sz w:val="24"/>
          <w:szCs w:val="24"/>
        </w:rPr>
        <w:t xml:space="preserve">WASH </w:t>
      </w:r>
      <w:r w:rsidR="007F38EA">
        <w:rPr>
          <w:sz w:val="24"/>
          <w:szCs w:val="24"/>
        </w:rPr>
        <w:t>cluster;</w:t>
      </w:r>
    </w:p>
    <w:p w14:paraId="20D6CED3" w14:textId="4F944E71" w:rsidR="00882574" w:rsidRPr="00882574" w:rsidRDefault="00586EC4" w:rsidP="00DE791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2574">
        <w:rPr>
          <w:sz w:val="24"/>
          <w:szCs w:val="24"/>
        </w:rPr>
        <w:t>Identify and recommend capacity deve</w:t>
      </w:r>
      <w:r w:rsidR="00882574" w:rsidRPr="00882574">
        <w:rPr>
          <w:sz w:val="24"/>
          <w:szCs w:val="24"/>
        </w:rPr>
        <w:t>lopment needs for the</w:t>
      </w:r>
      <w:r w:rsidR="007F38EA">
        <w:rPr>
          <w:sz w:val="24"/>
          <w:szCs w:val="24"/>
        </w:rPr>
        <w:t xml:space="preserve"> </w:t>
      </w:r>
      <w:r w:rsidR="005B1E69">
        <w:rPr>
          <w:sz w:val="24"/>
          <w:szCs w:val="24"/>
        </w:rPr>
        <w:t>cluster members at global and field level</w:t>
      </w:r>
      <w:r w:rsidR="00882574" w:rsidRPr="00882574">
        <w:rPr>
          <w:sz w:val="24"/>
          <w:szCs w:val="24"/>
        </w:rPr>
        <w:t>;</w:t>
      </w:r>
    </w:p>
    <w:p w14:paraId="6BC92D12" w14:textId="745BFFED" w:rsidR="00586EC4" w:rsidRDefault="00882574" w:rsidP="00DE791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882574">
        <w:rPr>
          <w:sz w:val="24"/>
          <w:szCs w:val="24"/>
        </w:rPr>
        <w:t>Create training and identify capacity building options relevant to WASH actors in assessment</w:t>
      </w:r>
      <w:r w:rsidR="00227CE2">
        <w:rPr>
          <w:sz w:val="24"/>
          <w:szCs w:val="24"/>
        </w:rPr>
        <w:t>;</w:t>
      </w:r>
    </w:p>
    <w:p w14:paraId="31DF5720" w14:textId="4E34928D" w:rsidR="00F16AA6" w:rsidRPr="007F38EA" w:rsidRDefault="00F16AA6" w:rsidP="007F38EA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Develop technical briefing, case stud</w:t>
      </w:r>
      <w:r w:rsidR="00C650D0">
        <w:rPr>
          <w:sz w:val="24"/>
          <w:szCs w:val="24"/>
        </w:rPr>
        <w:t>ies</w:t>
      </w:r>
      <w:r>
        <w:rPr>
          <w:sz w:val="24"/>
          <w:szCs w:val="24"/>
        </w:rPr>
        <w:t xml:space="preserve"> and lessons learnt on WASH asses</w:t>
      </w:r>
      <w:r w:rsidR="00227CE2">
        <w:rPr>
          <w:sz w:val="24"/>
          <w:szCs w:val="24"/>
        </w:rPr>
        <w:t>sment to support good practices.</w:t>
      </w:r>
    </w:p>
    <w:p w14:paraId="7EFB9C2E" w14:textId="5F7F79CF" w:rsidR="00D55F1E" w:rsidRPr="006E1988" w:rsidRDefault="007665A0" w:rsidP="00DE791F">
      <w:pPr>
        <w:jc w:val="both"/>
        <w:rPr>
          <w:b/>
          <w:sz w:val="24"/>
        </w:rPr>
      </w:pPr>
      <w:r>
        <w:rPr>
          <w:b/>
          <w:sz w:val="24"/>
        </w:rPr>
        <w:t xml:space="preserve">Guiding </w:t>
      </w:r>
      <w:r w:rsidR="00D55F1E" w:rsidRPr="006E1988">
        <w:rPr>
          <w:b/>
          <w:sz w:val="24"/>
        </w:rPr>
        <w:t>Principles</w:t>
      </w:r>
    </w:p>
    <w:p w14:paraId="15A39A5B" w14:textId="77777777" w:rsidR="00D55F1E" w:rsidRPr="004F5D1B" w:rsidRDefault="00D55F1E" w:rsidP="00410CF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4F5D1B">
        <w:rPr>
          <w:sz w:val="24"/>
        </w:rPr>
        <w:t xml:space="preserve">Ensure relevant technical standards are formulated and agreed within the terms of reference and deadline set by SAG. </w:t>
      </w:r>
    </w:p>
    <w:p w14:paraId="40656276" w14:textId="77777777" w:rsidR="00D55F1E" w:rsidRPr="004F5D1B" w:rsidRDefault="00D55F1E" w:rsidP="00410CF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4F5D1B">
        <w:rPr>
          <w:sz w:val="24"/>
        </w:rPr>
        <w:t>Update the Cluster on status of work-in-progress and present final outputs/recommendations of the TWIG to Cluster stakeholders in oral and written form for feedback and comment</w:t>
      </w:r>
    </w:p>
    <w:p w14:paraId="0C7F14B3" w14:textId="77777777" w:rsidR="00D55F1E" w:rsidRPr="004F5D1B" w:rsidRDefault="00D55F1E" w:rsidP="00410CF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4F5D1B">
        <w:rPr>
          <w:sz w:val="24"/>
        </w:rPr>
        <w:t>Ensure a TWIG membership that is representative of the wider Cluster stakeholder groups, and ensure that relevant technical skill-sets are appropriate and available (advise the Cluster Coordinator if this is not the case)</w:t>
      </w:r>
    </w:p>
    <w:p w14:paraId="5DB689FB" w14:textId="77777777" w:rsidR="00FE6684" w:rsidRPr="00FE6684" w:rsidRDefault="007665A0" w:rsidP="00FE668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2E23D0">
        <w:rPr>
          <w:rFonts w:cs="Arial"/>
          <w:sz w:val="24"/>
          <w:szCs w:val="20"/>
        </w:rPr>
        <w:t xml:space="preserve">Ensure </w:t>
      </w:r>
      <w:r>
        <w:rPr>
          <w:rFonts w:cs="Arial"/>
          <w:sz w:val="24"/>
          <w:szCs w:val="20"/>
        </w:rPr>
        <w:t xml:space="preserve">that </w:t>
      </w:r>
      <w:r w:rsidRPr="002E23D0">
        <w:rPr>
          <w:rFonts w:cs="Arial"/>
          <w:sz w:val="24"/>
          <w:szCs w:val="20"/>
        </w:rPr>
        <w:t xml:space="preserve">in-country </w:t>
      </w:r>
      <w:r>
        <w:rPr>
          <w:rFonts w:cs="Arial"/>
          <w:sz w:val="24"/>
          <w:szCs w:val="20"/>
        </w:rPr>
        <w:t xml:space="preserve">experiences and feedback are captured and iteratively addressed in developing the outputs of the </w:t>
      </w:r>
      <w:proofErr w:type="spellStart"/>
      <w:r>
        <w:rPr>
          <w:rFonts w:cs="Arial"/>
          <w:sz w:val="24"/>
          <w:szCs w:val="20"/>
        </w:rPr>
        <w:t>TWiG</w:t>
      </w:r>
      <w:proofErr w:type="spellEnd"/>
    </w:p>
    <w:p w14:paraId="79519B5C" w14:textId="4A9F48EA" w:rsidR="00FB1161" w:rsidRPr="00D55F1E" w:rsidRDefault="00D55F1E" w:rsidP="00F16AA6">
      <w:pPr>
        <w:jc w:val="both"/>
        <w:rPr>
          <w:sz w:val="24"/>
        </w:rPr>
      </w:pPr>
      <w:r w:rsidRPr="00FE6684">
        <w:rPr>
          <w:sz w:val="24"/>
        </w:rPr>
        <w:t>Ensure all Cluster stakeholders have the opportunity to feedback into the work of the TWIG prior to presentation to the Cluster in plenary</w:t>
      </w:r>
      <w:r w:rsidR="007665A0" w:rsidRPr="00FE6684">
        <w:rPr>
          <w:sz w:val="24"/>
        </w:rPr>
        <w:t xml:space="preserve"> for validation</w:t>
      </w:r>
      <w:r w:rsidRPr="00FE6684">
        <w:rPr>
          <w:sz w:val="24"/>
        </w:rPr>
        <w:t xml:space="preserve">, and </w:t>
      </w:r>
      <w:r w:rsidR="007665A0" w:rsidRPr="00FE6684">
        <w:rPr>
          <w:sz w:val="24"/>
        </w:rPr>
        <w:t xml:space="preserve">following the </w:t>
      </w:r>
      <w:r w:rsidRPr="00FE6684">
        <w:rPr>
          <w:sz w:val="24"/>
        </w:rPr>
        <w:t>SAG</w:t>
      </w:r>
      <w:r w:rsidR="007665A0" w:rsidRPr="00FE6684">
        <w:rPr>
          <w:sz w:val="24"/>
        </w:rPr>
        <w:t>’s</w:t>
      </w:r>
      <w:r w:rsidRPr="00FE6684">
        <w:rPr>
          <w:sz w:val="24"/>
        </w:rPr>
        <w:t xml:space="preserve"> ratification</w:t>
      </w:r>
      <w:r w:rsidR="007F38EA">
        <w:rPr>
          <w:sz w:val="24"/>
        </w:rPr>
        <w:t>.</w:t>
      </w:r>
    </w:p>
    <w:sectPr w:rsidR="00FB1161" w:rsidRPr="00D55F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6F15C" w14:textId="77777777" w:rsidR="0008257B" w:rsidRDefault="0008257B" w:rsidP="00D55F1E">
      <w:pPr>
        <w:spacing w:after="0" w:line="240" w:lineRule="auto"/>
      </w:pPr>
      <w:r>
        <w:separator/>
      </w:r>
    </w:p>
  </w:endnote>
  <w:endnote w:type="continuationSeparator" w:id="0">
    <w:p w14:paraId="084AEDA4" w14:textId="77777777" w:rsidR="0008257B" w:rsidRDefault="0008257B" w:rsidP="00D5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D9EF5" w14:textId="77777777" w:rsidR="0008257B" w:rsidRDefault="0008257B" w:rsidP="00D55F1E">
      <w:pPr>
        <w:spacing w:after="0" w:line="240" w:lineRule="auto"/>
      </w:pPr>
      <w:r>
        <w:separator/>
      </w:r>
    </w:p>
  </w:footnote>
  <w:footnote w:type="continuationSeparator" w:id="0">
    <w:p w14:paraId="5716C91D" w14:textId="77777777" w:rsidR="0008257B" w:rsidRDefault="0008257B" w:rsidP="00D55F1E">
      <w:pPr>
        <w:spacing w:after="0" w:line="240" w:lineRule="auto"/>
      </w:pPr>
      <w:r>
        <w:continuationSeparator/>
      </w:r>
    </w:p>
  </w:footnote>
  <w:footnote w:id="1">
    <w:p w14:paraId="505D8C4B" w14:textId="1EB07D58" w:rsidR="00B55D04" w:rsidRPr="006E1988" w:rsidRDefault="00B55D04" w:rsidP="006E1988">
      <w:pPr>
        <w:spacing w:line="240" w:lineRule="auto"/>
      </w:pPr>
      <w:r>
        <w:rPr>
          <w:rStyle w:val="FootnoteReference"/>
        </w:rPr>
        <w:footnoteRef/>
      </w:r>
      <w:r>
        <w:t xml:space="preserve"> Possible topics include: </w:t>
      </w:r>
      <w:r w:rsidRPr="006E1988">
        <w:t>Statistical validity of assessments/Understanding of strength of evidence base for different methodologies; Urban assessments; WASH in Markets; Health and School facilities; Mobile data collection applications and centralized databases; Linkage between emergency assessments and M&amp;E; Analysis of Data</w:t>
      </w:r>
      <w:r>
        <w:t xml:space="preserve"> including secondary data analysis and qualitative data</w:t>
      </w:r>
      <w:r w:rsidRPr="006E1988">
        <w:t>; Inclusion of improved sex and gende</w:t>
      </w:r>
      <w:r>
        <w:t>r disaggregated data and informa</w:t>
      </w:r>
      <w:r w:rsidRPr="006E1988">
        <w:t>t</w:t>
      </w:r>
      <w:r>
        <w:t>i</w:t>
      </w:r>
      <w:r w:rsidRPr="006E1988">
        <w:t>on</w:t>
      </w:r>
      <w:r>
        <w:t xml:space="preserve">; anthropological and epidemiological analysis in public health emergencies; </w:t>
      </w:r>
      <w:proofErr w:type="spellStart"/>
      <w:r>
        <w:t>etc</w:t>
      </w:r>
      <w:proofErr w:type="spellEnd"/>
    </w:p>
    <w:p w14:paraId="2FDC06F1" w14:textId="77777777" w:rsidR="00B55D04" w:rsidRPr="006E1988" w:rsidRDefault="00B55D0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9525C" w14:textId="77777777" w:rsidR="00B55D04" w:rsidRDefault="00B55D04">
    <w:pPr>
      <w:pStyle w:val="Header"/>
    </w:pPr>
    <w:r>
      <w:t>Draft Version, April 29 2015</w:t>
    </w:r>
    <w:r>
      <w:ptab w:relativeTo="margin" w:alignment="center" w:leader="none"/>
    </w:r>
    <w:r>
      <w:ptab w:relativeTo="margin" w:alignment="right" w:leader="none"/>
    </w:r>
    <w:r>
      <w:t>Global WASH Cluster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BC5A43"/>
    <w:multiLevelType w:val="hybridMultilevel"/>
    <w:tmpl w:val="16D4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28AF"/>
    <w:multiLevelType w:val="hybridMultilevel"/>
    <w:tmpl w:val="EB6E5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71206"/>
    <w:multiLevelType w:val="hybridMultilevel"/>
    <w:tmpl w:val="285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46FC"/>
    <w:multiLevelType w:val="hybridMultilevel"/>
    <w:tmpl w:val="E05CA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13F3A"/>
    <w:multiLevelType w:val="hybridMultilevel"/>
    <w:tmpl w:val="588A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234E9"/>
    <w:multiLevelType w:val="hybridMultilevel"/>
    <w:tmpl w:val="8CD4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0328"/>
    <w:multiLevelType w:val="hybridMultilevel"/>
    <w:tmpl w:val="92FE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0415"/>
    <w:multiLevelType w:val="hybridMultilevel"/>
    <w:tmpl w:val="8D660D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2286C"/>
    <w:multiLevelType w:val="hybridMultilevel"/>
    <w:tmpl w:val="8D54352A"/>
    <w:lvl w:ilvl="0" w:tplc="B0261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58EF"/>
    <w:multiLevelType w:val="hybridMultilevel"/>
    <w:tmpl w:val="3712F4FA"/>
    <w:lvl w:ilvl="0" w:tplc="DF823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823E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  <w:sz w:val="28"/>
        <w:szCs w:val="28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6E7240"/>
    <w:multiLevelType w:val="hybridMultilevel"/>
    <w:tmpl w:val="7F0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567F6"/>
    <w:multiLevelType w:val="hybridMultilevel"/>
    <w:tmpl w:val="49103D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F7C53"/>
    <w:multiLevelType w:val="hybridMultilevel"/>
    <w:tmpl w:val="31E22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2790"/>
    <w:multiLevelType w:val="hybridMultilevel"/>
    <w:tmpl w:val="D4EE39C2"/>
    <w:lvl w:ilvl="0" w:tplc="A9409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42B32"/>
    <w:multiLevelType w:val="hybridMultilevel"/>
    <w:tmpl w:val="999ED7F8"/>
    <w:lvl w:ilvl="0" w:tplc="403498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157FB"/>
    <w:multiLevelType w:val="hybridMultilevel"/>
    <w:tmpl w:val="13CC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15"/>
  </w:num>
  <w:num w:numId="14">
    <w:abstractNumId w:val="14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1E"/>
    <w:rsid w:val="00001FE4"/>
    <w:rsid w:val="0008257B"/>
    <w:rsid w:val="000F105D"/>
    <w:rsid w:val="00113661"/>
    <w:rsid w:val="001D3F50"/>
    <w:rsid w:val="00227CE2"/>
    <w:rsid w:val="002E0D6F"/>
    <w:rsid w:val="002E3078"/>
    <w:rsid w:val="00326CEC"/>
    <w:rsid w:val="003B4862"/>
    <w:rsid w:val="003C36A7"/>
    <w:rsid w:val="00410CF3"/>
    <w:rsid w:val="004F5D1B"/>
    <w:rsid w:val="00560395"/>
    <w:rsid w:val="00586EC4"/>
    <w:rsid w:val="005870DC"/>
    <w:rsid w:val="005B1E69"/>
    <w:rsid w:val="005C2199"/>
    <w:rsid w:val="00672B20"/>
    <w:rsid w:val="006A56AA"/>
    <w:rsid w:val="006E1988"/>
    <w:rsid w:val="007260F2"/>
    <w:rsid w:val="007405A4"/>
    <w:rsid w:val="007665A0"/>
    <w:rsid w:val="007F02C7"/>
    <w:rsid w:val="007F38EA"/>
    <w:rsid w:val="00882574"/>
    <w:rsid w:val="008834D1"/>
    <w:rsid w:val="00956472"/>
    <w:rsid w:val="009914A8"/>
    <w:rsid w:val="00A647F6"/>
    <w:rsid w:val="00AB0686"/>
    <w:rsid w:val="00B55D04"/>
    <w:rsid w:val="00B70C72"/>
    <w:rsid w:val="00B87D77"/>
    <w:rsid w:val="00C258F3"/>
    <w:rsid w:val="00C46354"/>
    <w:rsid w:val="00C650D0"/>
    <w:rsid w:val="00D55F1E"/>
    <w:rsid w:val="00DE791F"/>
    <w:rsid w:val="00E72DDD"/>
    <w:rsid w:val="00E96527"/>
    <w:rsid w:val="00EB4DE0"/>
    <w:rsid w:val="00F16AA6"/>
    <w:rsid w:val="00F2574E"/>
    <w:rsid w:val="00F375C4"/>
    <w:rsid w:val="00FB1161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25CC"/>
  <w15:chartTrackingRefBased/>
  <w15:docId w15:val="{A18BC67C-BD34-4BF7-9704-D4601F59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1E"/>
  </w:style>
  <w:style w:type="paragraph" w:styleId="Footer">
    <w:name w:val="footer"/>
    <w:basedOn w:val="Normal"/>
    <w:link w:val="FooterChar"/>
    <w:uiPriority w:val="99"/>
    <w:unhideWhenUsed/>
    <w:rsid w:val="00D5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1E"/>
  </w:style>
  <w:style w:type="paragraph" w:styleId="ListParagraph">
    <w:name w:val="List Paragraph"/>
    <w:basedOn w:val="Normal"/>
    <w:uiPriority w:val="34"/>
    <w:qFormat/>
    <w:rsid w:val="00D55F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E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8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8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86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B48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48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862"/>
    <w:rPr>
      <w:vertAlign w:val="superscript"/>
    </w:rPr>
  </w:style>
  <w:style w:type="paragraph" w:customStyle="1" w:styleId="Default">
    <w:name w:val="Default"/>
    <w:rsid w:val="007F02C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C5E0-155A-447D-84B4-AC42311B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Tracy</dc:creator>
  <cp:keywords/>
  <dc:description/>
  <cp:lastModifiedBy>Rose Marie Guevremont</cp:lastModifiedBy>
  <cp:revision>4</cp:revision>
  <cp:lastPrinted>2015-10-28T12:26:00Z</cp:lastPrinted>
  <dcterms:created xsi:type="dcterms:W3CDTF">2015-10-28T12:16:00Z</dcterms:created>
  <dcterms:modified xsi:type="dcterms:W3CDTF">2015-10-28T14:16:00Z</dcterms:modified>
</cp:coreProperties>
</file>