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Narrow" w:eastAsiaTheme="majorEastAsia" w:hAnsi="Arial Narrow" w:cs="Arial"/>
          <w:b/>
          <w:caps/>
          <w:sz w:val="48"/>
          <w:szCs w:val="48"/>
        </w:rPr>
        <w:id w:val="-1049751064"/>
        <w:docPartObj>
          <w:docPartGallery w:val="Cover Pages"/>
          <w:docPartUnique/>
        </w:docPartObj>
      </w:sdtPr>
      <w:sdtEndPr>
        <w:rPr>
          <w:rFonts w:eastAsiaTheme="minorEastAsia"/>
          <w:bCs/>
          <w:caps w:val="0"/>
          <w:color w:val="666666"/>
          <w:sz w:val="22"/>
          <w:szCs w:val="22"/>
        </w:rPr>
      </w:sdtEndPr>
      <w:sdtContent>
        <w:tbl>
          <w:tblPr>
            <w:tblW w:w="5000" w:type="pct"/>
            <w:jc w:val="center"/>
            <w:tblLook w:val="04A0" w:firstRow="1" w:lastRow="0" w:firstColumn="1" w:lastColumn="0" w:noHBand="0" w:noVBand="1"/>
          </w:tblPr>
          <w:tblGrid>
            <w:gridCol w:w="10466"/>
          </w:tblGrid>
          <w:tr w:rsidR="00233ADC" w:rsidRPr="00AB3FA1" w:rsidTr="00EC2C17">
            <w:trPr>
              <w:trHeight w:val="1493"/>
              <w:jc w:val="center"/>
            </w:trPr>
            <w:tc>
              <w:tcPr>
                <w:tcW w:w="5000" w:type="pct"/>
              </w:tcPr>
              <w:p w:rsidR="00233ADC" w:rsidRPr="00AB3FA1" w:rsidRDefault="00233ADC" w:rsidP="00AB3FA1">
                <w:pPr>
                  <w:pStyle w:val="NoSpacing"/>
                  <w:jc w:val="both"/>
                  <w:rPr>
                    <w:rFonts w:ascii="Arial Narrow" w:eastAsiaTheme="majorEastAsia" w:hAnsi="Arial Narrow" w:cstheme="majorBidi"/>
                    <w:caps/>
                  </w:rPr>
                </w:pPr>
              </w:p>
            </w:tc>
          </w:tr>
          <w:tr w:rsidR="00B05362" w:rsidRPr="00AB3FA1" w:rsidTr="00EC2C17">
            <w:trPr>
              <w:trHeight w:val="1440"/>
              <w:jc w:val="center"/>
            </w:trPr>
            <w:tc>
              <w:tcPr>
                <w:tcW w:w="5000" w:type="pct"/>
                <w:vAlign w:val="center"/>
              </w:tcPr>
              <w:p w:rsidR="00233ADC" w:rsidRPr="00AB3FA1" w:rsidRDefault="00194000" w:rsidP="00AB3FA1">
                <w:pPr>
                  <w:pStyle w:val="NoSpacing"/>
                  <w:jc w:val="center"/>
                  <w:rPr>
                    <w:rFonts w:ascii="Arial Narrow" w:eastAsiaTheme="majorEastAsia" w:hAnsi="Arial Narrow" w:cs="Arial"/>
                    <w:color w:val="009999"/>
                    <w:sz w:val="60"/>
                    <w:szCs w:val="60"/>
                  </w:rPr>
                </w:pPr>
                <w:sdt>
                  <w:sdtPr>
                    <w:rPr>
                      <w:rFonts w:ascii="Arial Narrow" w:eastAsiaTheme="majorEastAsia" w:hAnsi="Arial Narrow" w:cs="Arial"/>
                      <w:color w:val="009999"/>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591B08" w:rsidRPr="00AB3FA1">
                      <w:rPr>
                        <w:rFonts w:ascii="Arial Narrow" w:eastAsiaTheme="majorEastAsia" w:hAnsi="Arial Narrow" w:cs="Arial"/>
                        <w:color w:val="009999"/>
                        <w:sz w:val="60"/>
                        <w:szCs w:val="60"/>
                      </w:rPr>
                      <w:t>Humanitarian Response Planning Process</w:t>
                    </w:r>
                  </w:sdtContent>
                </w:sdt>
              </w:p>
            </w:tc>
          </w:tr>
          <w:tr w:rsidR="00233ADC" w:rsidRPr="00AB3FA1" w:rsidTr="00EC2C17">
            <w:trPr>
              <w:trHeight w:val="720"/>
              <w:jc w:val="center"/>
            </w:trPr>
            <w:tc>
              <w:tcPr>
                <w:tcW w:w="5000" w:type="pct"/>
                <w:vAlign w:val="center"/>
              </w:tcPr>
              <w:p w:rsidR="00233ADC" w:rsidRPr="00AB3FA1" w:rsidRDefault="00233ADC" w:rsidP="00AB3FA1">
                <w:pPr>
                  <w:pStyle w:val="NoSpacing"/>
                  <w:jc w:val="center"/>
                  <w:rPr>
                    <w:rFonts w:ascii="Arial Narrow" w:eastAsiaTheme="majorEastAsia" w:hAnsi="Arial Narrow" w:cs="Arial"/>
                    <w:i/>
                    <w:color w:val="009999"/>
                    <w:sz w:val="28"/>
                    <w:szCs w:val="40"/>
                  </w:rPr>
                </w:pPr>
              </w:p>
            </w:tc>
          </w:tr>
          <w:tr w:rsidR="00233ADC" w:rsidRPr="00AB3FA1" w:rsidTr="00EC2C17">
            <w:trPr>
              <w:trHeight w:val="360"/>
              <w:jc w:val="center"/>
            </w:trPr>
            <w:tc>
              <w:tcPr>
                <w:tcW w:w="5000" w:type="pct"/>
                <w:vAlign w:val="center"/>
              </w:tcPr>
              <w:p w:rsidR="00233ADC" w:rsidRPr="00AB3FA1" w:rsidRDefault="00233ADC" w:rsidP="00AB3FA1">
                <w:pPr>
                  <w:pStyle w:val="NoSpacing"/>
                  <w:jc w:val="center"/>
                  <w:rPr>
                    <w:rFonts w:ascii="Arial Narrow" w:hAnsi="Arial Narrow" w:cs="Arial"/>
                    <w:color w:val="666666"/>
                  </w:rPr>
                </w:pPr>
              </w:p>
              <w:p w:rsidR="00233ADC" w:rsidRPr="00AB3FA1" w:rsidRDefault="005E24B0" w:rsidP="00AB3FA1">
                <w:pPr>
                  <w:pStyle w:val="NoSpacing"/>
                  <w:jc w:val="center"/>
                  <w:rPr>
                    <w:rFonts w:ascii="Arial Narrow" w:hAnsi="Arial Narrow" w:cs="Arial"/>
                    <w:b/>
                    <w:color w:val="666666"/>
                  </w:rPr>
                </w:pPr>
                <w:r>
                  <w:rPr>
                    <w:rFonts w:ascii="Arial Narrow" w:hAnsi="Arial Narrow" w:cs="Arial"/>
                    <w:b/>
                    <w:color w:val="666666"/>
                  </w:rPr>
                  <w:t>21 of July</w:t>
                </w:r>
                <w:r w:rsidR="00BA2340" w:rsidRPr="00AB3FA1">
                  <w:rPr>
                    <w:rFonts w:ascii="Arial Narrow" w:hAnsi="Arial Narrow" w:cs="Arial"/>
                    <w:b/>
                    <w:color w:val="666666"/>
                  </w:rPr>
                  <w:t xml:space="preserve">, </w:t>
                </w:r>
                <w:r>
                  <w:rPr>
                    <w:rFonts w:ascii="Arial Narrow" w:hAnsi="Arial Narrow" w:cs="Arial"/>
                    <w:b/>
                    <w:color w:val="666666"/>
                  </w:rPr>
                  <w:t>2016</w:t>
                </w:r>
              </w:p>
              <w:p w:rsidR="00233ADC" w:rsidRPr="00AB3FA1" w:rsidRDefault="00233ADC" w:rsidP="00AB3FA1">
                <w:pPr>
                  <w:pStyle w:val="NoSpacing"/>
                  <w:jc w:val="center"/>
                  <w:rPr>
                    <w:rFonts w:ascii="Arial Narrow" w:hAnsi="Arial Narrow" w:cs="Arial"/>
                    <w:color w:val="666666"/>
                  </w:rPr>
                </w:pPr>
              </w:p>
            </w:tc>
          </w:tr>
          <w:tr w:rsidR="00233ADC" w:rsidRPr="00AB3FA1" w:rsidTr="00EC2C17">
            <w:trPr>
              <w:trHeight w:val="360"/>
              <w:jc w:val="center"/>
            </w:trPr>
            <w:sdt>
              <w:sdtPr>
                <w:rPr>
                  <w:rFonts w:ascii="Arial Narrow" w:hAnsi="Arial Narrow" w:cs="Arial"/>
                  <w:b/>
                  <w:bCs/>
                  <w:color w:val="666666"/>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233ADC" w:rsidRPr="00AB3FA1" w:rsidRDefault="00EC2C17" w:rsidP="00AB3FA1">
                    <w:pPr>
                      <w:pStyle w:val="NoSpacing"/>
                      <w:jc w:val="center"/>
                      <w:rPr>
                        <w:rFonts w:ascii="Arial Narrow" w:hAnsi="Arial Narrow" w:cs="Arial"/>
                        <w:b/>
                        <w:bCs/>
                        <w:color w:val="666666"/>
                      </w:rPr>
                    </w:pPr>
                    <w:r w:rsidRPr="00AB3FA1">
                      <w:rPr>
                        <w:rFonts w:ascii="Arial Narrow" w:hAnsi="Arial Narrow" w:cs="Arial"/>
                        <w:b/>
                        <w:bCs/>
                        <w:color w:val="666666"/>
                        <w:lang w:val="en-GB"/>
                      </w:rPr>
                      <w:t>Global WASH Cluster</w:t>
                    </w:r>
                  </w:p>
                </w:tc>
              </w:sdtContent>
            </w:sdt>
          </w:tr>
        </w:tbl>
      </w:sdtContent>
    </w:sdt>
    <w:p w:rsidR="00EC2C17" w:rsidRPr="00AB3FA1" w:rsidRDefault="00EC2C17" w:rsidP="00AB3FA1">
      <w:pPr>
        <w:rPr>
          <w:rStyle w:val="IntenseEmphasis"/>
          <w:rFonts w:ascii="Arial Narrow" w:hAnsi="Arial Narrow" w:cs="Arial"/>
          <w:b w:val="0"/>
          <w:bCs w:val="0"/>
          <w:i w:val="0"/>
          <w:iCs w:val="0"/>
          <w:color w:val="006666"/>
          <w:sz w:val="28"/>
          <w:szCs w:val="28"/>
        </w:rPr>
      </w:pPr>
      <w:r w:rsidRPr="00AB3FA1">
        <w:rPr>
          <w:rStyle w:val="IntenseEmphasis"/>
          <w:rFonts w:ascii="Arial Narrow" w:hAnsi="Arial Narrow" w:cs="Arial"/>
          <w:i w:val="0"/>
          <w:iCs w:val="0"/>
          <w:color w:val="006666"/>
          <w:sz w:val="28"/>
          <w:szCs w:val="28"/>
        </w:rPr>
        <w:t>Table of Contents</w:t>
      </w:r>
    </w:p>
    <w:p w:rsidR="00AB3FA1" w:rsidRDefault="00EC2C17">
      <w:pPr>
        <w:pStyle w:val="TOC1"/>
        <w:tabs>
          <w:tab w:val="left" w:pos="440"/>
          <w:tab w:val="right" w:leader="dot" w:pos="10456"/>
        </w:tabs>
        <w:rPr>
          <w:noProof/>
          <w:lang w:val="en-GB" w:eastAsia="en-GB"/>
        </w:rPr>
      </w:pPr>
      <w:r w:rsidRPr="00AB3FA1">
        <w:rPr>
          <w:rStyle w:val="IntenseEmphasis"/>
          <w:rFonts w:ascii="Arial Narrow" w:hAnsi="Arial Narrow" w:cs="Arial"/>
          <w:b w:val="0"/>
          <w:i w:val="0"/>
          <w:color w:val="0D0D0D" w:themeColor="text1" w:themeTint="F2"/>
        </w:rPr>
        <w:fldChar w:fldCharType="begin"/>
      </w:r>
      <w:r w:rsidRPr="00AB3FA1">
        <w:rPr>
          <w:rStyle w:val="IntenseEmphasis"/>
          <w:rFonts w:ascii="Arial Narrow" w:hAnsi="Arial Narrow" w:cs="Arial"/>
          <w:b w:val="0"/>
          <w:i w:val="0"/>
          <w:color w:val="0D0D0D" w:themeColor="text1" w:themeTint="F2"/>
        </w:rPr>
        <w:instrText xml:space="preserve"> TOC \o "1-3" \h \z \u </w:instrText>
      </w:r>
      <w:r w:rsidRPr="00AB3FA1">
        <w:rPr>
          <w:rStyle w:val="IntenseEmphasis"/>
          <w:rFonts w:ascii="Arial Narrow" w:hAnsi="Arial Narrow" w:cs="Arial"/>
          <w:b w:val="0"/>
          <w:i w:val="0"/>
          <w:color w:val="0D0D0D" w:themeColor="text1" w:themeTint="F2"/>
        </w:rPr>
        <w:fldChar w:fldCharType="separate"/>
      </w:r>
      <w:hyperlink w:anchor="_Toc456776656" w:history="1">
        <w:r w:rsidR="00AB3FA1" w:rsidRPr="002428FE">
          <w:rPr>
            <w:rStyle w:val="Hyperlink"/>
            <w:rFonts w:ascii="Arial Narrow" w:hAnsi="Arial Narrow"/>
            <w:noProof/>
          </w:rPr>
          <w:t>1.</w:t>
        </w:r>
        <w:r w:rsidR="00AB3FA1">
          <w:rPr>
            <w:noProof/>
            <w:lang w:val="en-GB" w:eastAsia="en-GB"/>
          </w:rPr>
          <w:tab/>
        </w:r>
        <w:r w:rsidR="00AB3FA1" w:rsidRPr="002428FE">
          <w:rPr>
            <w:rStyle w:val="Hyperlink"/>
            <w:rFonts w:ascii="Arial Narrow" w:hAnsi="Arial Narrow"/>
            <w:noProof/>
          </w:rPr>
          <w:t>Humanitarian Response Planning</w:t>
        </w:r>
        <w:r w:rsidR="00AB3FA1">
          <w:rPr>
            <w:noProof/>
            <w:webHidden/>
          </w:rPr>
          <w:tab/>
        </w:r>
        <w:r w:rsidR="00AB3FA1">
          <w:rPr>
            <w:noProof/>
            <w:webHidden/>
          </w:rPr>
          <w:fldChar w:fldCharType="begin"/>
        </w:r>
        <w:r w:rsidR="00AB3FA1">
          <w:rPr>
            <w:noProof/>
            <w:webHidden/>
          </w:rPr>
          <w:instrText xml:space="preserve"> PAGEREF _Toc456776656 \h </w:instrText>
        </w:r>
        <w:r w:rsidR="00AB3FA1">
          <w:rPr>
            <w:noProof/>
            <w:webHidden/>
          </w:rPr>
        </w:r>
        <w:r w:rsidR="00AB3FA1">
          <w:rPr>
            <w:noProof/>
            <w:webHidden/>
          </w:rPr>
          <w:fldChar w:fldCharType="separate"/>
        </w:r>
        <w:r w:rsidR="00AB3FA1">
          <w:rPr>
            <w:noProof/>
            <w:webHidden/>
          </w:rPr>
          <w:t>1</w:t>
        </w:r>
        <w:r w:rsidR="00AB3FA1">
          <w:rPr>
            <w:noProof/>
            <w:webHidden/>
          </w:rPr>
          <w:fldChar w:fldCharType="end"/>
        </w:r>
      </w:hyperlink>
    </w:p>
    <w:p w:rsidR="00AB3FA1" w:rsidRDefault="00194000">
      <w:pPr>
        <w:pStyle w:val="TOC2"/>
        <w:tabs>
          <w:tab w:val="left" w:pos="880"/>
          <w:tab w:val="right" w:leader="dot" w:pos="10456"/>
        </w:tabs>
        <w:rPr>
          <w:noProof/>
          <w:lang w:val="en-GB" w:eastAsia="en-GB"/>
        </w:rPr>
      </w:pPr>
      <w:hyperlink w:anchor="_Toc456776657" w:history="1">
        <w:r w:rsidR="00AB3FA1" w:rsidRPr="002428FE">
          <w:rPr>
            <w:rStyle w:val="Hyperlink"/>
            <w:rFonts w:ascii="Arial Narrow" w:hAnsi="Arial Narrow"/>
            <w:noProof/>
          </w:rPr>
          <w:t>1.1</w:t>
        </w:r>
        <w:r w:rsidR="00AB3FA1">
          <w:rPr>
            <w:noProof/>
            <w:lang w:val="en-GB" w:eastAsia="en-GB"/>
          </w:rPr>
          <w:tab/>
        </w:r>
        <w:r w:rsidR="00AB3FA1" w:rsidRPr="002428FE">
          <w:rPr>
            <w:rStyle w:val="Hyperlink"/>
            <w:rFonts w:ascii="Arial Narrow" w:hAnsi="Arial Narrow"/>
            <w:noProof/>
          </w:rPr>
          <w:t>Key Guidance</w:t>
        </w:r>
        <w:r w:rsidR="00AB3FA1">
          <w:rPr>
            <w:noProof/>
            <w:webHidden/>
          </w:rPr>
          <w:tab/>
        </w:r>
        <w:r w:rsidR="00AB3FA1">
          <w:rPr>
            <w:noProof/>
            <w:webHidden/>
          </w:rPr>
          <w:fldChar w:fldCharType="begin"/>
        </w:r>
        <w:r w:rsidR="00AB3FA1">
          <w:rPr>
            <w:noProof/>
            <w:webHidden/>
          </w:rPr>
          <w:instrText xml:space="preserve"> PAGEREF _Toc456776657 \h </w:instrText>
        </w:r>
        <w:r w:rsidR="00AB3FA1">
          <w:rPr>
            <w:noProof/>
            <w:webHidden/>
          </w:rPr>
        </w:r>
        <w:r w:rsidR="00AB3FA1">
          <w:rPr>
            <w:noProof/>
            <w:webHidden/>
          </w:rPr>
          <w:fldChar w:fldCharType="separate"/>
        </w:r>
        <w:r w:rsidR="00AB3FA1">
          <w:rPr>
            <w:noProof/>
            <w:webHidden/>
          </w:rPr>
          <w:t>2</w:t>
        </w:r>
        <w:r w:rsidR="00AB3FA1">
          <w:rPr>
            <w:noProof/>
            <w:webHidden/>
          </w:rPr>
          <w:fldChar w:fldCharType="end"/>
        </w:r>
      </w:hyperlink>
    </w:p>
    <w:p w:rsidR="00AB3FA1" w:rsidRDefault="00194000">
      <w:pPr>
        <w:pStyle w:val="TOC1"/>
        <w:tabs>
          <w:tab w:val="left" w:pos="440"/>
          <w:tab w:val="right" w:leader="dot" w:pos="10456"/>
        </w:tabs>
        <w:rPr>
          <w:noProof/>
          <w:lang w:val="en-GB" w:eastAsia="en-GB"/>
        </w:rPr>
      </w:pPr>
      <w:hyperlink w:anchor="_Toc456776658" w:history="1">
        <w:r w:rsidR="00AB3FA1" w:rsidRPr="002428FE">
          <w:rPr>
            <w:rStyle w:val="Hyperlink"/>
            <w:rFonts w:ascii="Arial Narrow" w:hAnsi="Arial Narrow"/>
            <w:noProof/>
          </w:rPr>
          <w:t>2.</w:t>
        </w:r>
        <w:r w:rsidR="00AB3FA1">
          <w:rPr>
            <w:noProof/>
            <w:lang w:val="en-GB" w:eastAsia="en-GB"/>
          </w:rPr>
          <w:tab/>
        </w:r>
        <w:r w:rsidR="00AB3FA1" w:rsidRPr="002428FE">
          <w:rPr>
            <w:rStyle w:val="Hyperlink"/>
            <w:rFonts w:ascii="Arial Narrow" w:hAnsi="Arial Narrow"/>
            <w:noProof/>
          </w:rPr>
          <w:t>Tools &amp; Resources</w:t>
        </w:r>
        <w:r w:rsidR="00AB3FA1">
          <w:rPr>
            <w:noProof/>
            <w:webHidden/>
          </w:rPr>
          <w:tab/>
        </w:r>
        <w:r w:rsidR="00AB3FA1">
          <w:rPr>
            <w:noProof/>
            <w:webHidden/>
          </w:rPr>
          <w:fldChar w:fldCharType="begin"/>
        </w:r>
        <w:r w:rsidR="00AB3FA1">
          <w:rPr>
            <w:noProof/>
            <w:webHidden/>
          </w:rPr>
          <w:instrText xml:space="preserve"> PAGEREF _Toc456776658 \h </w:instrText>
        </w:r>
        <w:r w:rsidR="00AB3FA1">
          <w:rPr>
            <w:noProof/>
            <w:webHidden/>
          </w:rPr>
        </w:r>
        <w:r w:rsidR="00AB3FA1">
          <w:rPr>
            <w:noProof/>
            <w:webHidden/>
          </w:rPr>
          <w:fldChar w:fldCharType="separate"/>
        </w:r>
        <w:r w:rsidR="00AB3FA1">
          <w:rPr>
            <w:noProof/>
            <w:webHidden/>
          </w:rPr>
          <w:t>2</w:t>
        </w:r>
        <w:r w:rsidR="00AB3FA1">
          <w:rPr>
            <w:noProof/>
            <w:webHidden/>
          </w:rPr>
          <w:fldChar w:fldCharType="end"/>
        </w:r>
      </w:hyperlink>
    </w:p>
    <w:p w:rsidR="007B1C77" w:rsidRPr="00AB3FA1" w:rsidRDefault="00EC2C17" w:rsidP="00AB3FA1">
      <w:pPr>
        <w:jc w:val="both"/>
        <w:rPr>
          <w:rFonts w:ascii="Arial Narrow" w:hAnsi="Arial Narrow" w:cs="Arial"/>
        </w:rPr>
      </w:pPr>
      <w:r w:rsidRPr="00AB3FA1">
        <w:rPr>
          <w:rStyle w:val="IntenseEmphasis"/>
          <w:rFonts w:ascii="Arial Narrow" w:hAnsi="Arial Narrow" w:cs="Arial"/>
          <w:b w:val="0"/>
          <w:i w:val="0"/>
          <w:color w:val="0D0D0D" w:themeColor="text1" w:themeTint="F2"/>
        </w:rPr>
        <w:fldChar w:fldCharType="end"/>
      </w:r>
    </w:p>
    <w:p w:rsidR="00D40B1E" w:rsidRPr="00AB3FA1" w:rsidRDefault="006F2E05" w:rsidP="00AB3FA1">
      <w:pPr>
        <w:pStyle w:val="heading1wash"/>
        <w:jc w:val="both"/>
        <w:rPr>
          <w:rFonts w:ascii="Arial Narrow" w:hAnsi="Arial Narrow"/>
        </w:rPr>
      </w:pPr>
      <w:bookmarkStart w:id="0" w:name="_Toc456776656"/>
      <w:r w:rsidRPr="00AB3FA1">
        <w:rPr>
          <w:rFonts w:ascii="Arial Narrow" w:hAnsi="Arial Narrow"/>
        </w:rPr>
        <w:t>Humanitarian Response Planning</w:t>
      </w:r>
      <w:bookmarkEnd w:id="0"/>
      <w:r w:rsidR="00AB3FA1">
        <w:rPr>
          <w:rFonts w:ascii="Arial Narrow" w:hAnsi="Arial Narrow"/>
        </w:rPr>
        <w:t xml:space="preserve"> (HRP)</w:t>
      </w:r>
    </w:p>
    <w:p w:rsidR="000664CA" w:rsidRPr="00AB3FA1" w:rsidRDefault="000664CA" w:rsidP="00AB3FA1">
      <w:pPr>
        <w:spacing w:after="0"/>
        <w:jc w:val="both"/>
        <w:rPr>
          <w:rFonts w:ascii="Arial Narrow" w:hAnsi="Arial Narrow" w:cs="Arial"/>
        </w:rPr>
      </w:pPr>
      <w:r w:rsidRPr="00AB3FA1">
        <w:rPr>
          <w:rFonts w:ascii="Arial Narrow" w:hAnsi="Arial Narrow" w:cs="Arial"/>
        </w:rPr>
        <w:t xml:space="preserve">The HRP draws on the results of the </w:t>
      </w:r>
      <w:r w:rsidR="00AB3FA1">
        <w:rPr>
          <w:rFonts w:ascii="Arial Narrow" w:hAnsi="Arial Narrow" w:cs="Arial"/>
        </w:rPr>
        <w:t>Humanitarian Needs Overview (</w:t>
      </w:r>
      <w:r w:rsidRPr="00AB3FA1">
        <w:rPr>
          <w:rFonts w:ascii="Arial Narrow" w:hAnsi="Arial Narrow" w:cs="Arial"/>
        </w:rPr>
        <w:t>HNO</w:t>
      </w:r>
      <w:r w:rsidR="00AB3FA1">
        <w:rPr>
          <w:rFonts w:ascii="Arial Narrow" w:hAnsi="Arial Narrow" w:cs="Arial"/>
        </w:rPr>
        <w:t>)</w:t>
      </w:r>
      <w:r w:rsidRPr="00AB3FA1">
        <w:rPr>
          <w:rFonts w:ascii="Arial Narrow" w:hAnsi="Arial Narrow" w:cs="Arial"/>
        </w:rPr>
        <w:t xml:space="preserve"> process to define the humanitarian response to the assessed needs of the affected population. </w:t>
      </w:r>
    </w:p>
    <w:p w:rsidR="000664CA" w:rsidRPr="00AB3FA1" w:rsidRDefault="000664CA" w:rsidP="00AB3FA1">
      <w:pPr>
        <w:spacing w:after="0"/>
        <w:jc w:val="both"/>
        <w:rPr>
          <w:rFonts w:ascii="Arial Narrow" w:hAnsi="Arial Narrow" w:cs="Arial"/>
        </w:rPr>
      </w:pPr>
    </w:p>
    <w:p w:rsidR="000664CA" w:rsidRPr="00AB3FA1" w:rsidRDefault="000664CA" w:rsidP="00AB3FA1">
      <w:pPr>
        <w:spacing w:after="0"/>
        <w:jc w:val="both"/>
        <w:rPr>
          <w:rFonts w:ascii="Arial Narrow" w:hAnsi="Arial Narrow" w:cs="Arial"/>
        </w:rPr>
      </w:pPr>
      <w:r w:rsidRPr="00AB3FA1">
        <w:rPr>
          <w:rFonts w:ascii="Arial Narrow" w:hAnsi="Arial Narrow" w:cs="Arial"/>
        </w:rPr>
        <w:t xml:space="preserve">Starting from the response analysis, the </w:t>
      </w:r>
      <w:r w:rsidR="00AB3FA1">
        <w:rPr>
          <w:rFonts w:ascii="Arial Narrow" w:hAnsi="Arial Narrow" w:cs="Arial"/>
        </w:rPr>
        <w:t>Humanitarian Country Team (</w:t>
      </w:r>
      <w:r w:rsidRPr="00AB3FA1">
        <w:rPr>
          <w:rFonts w:ascii="Arial Narrow" w:hAnsi="Arial Narrow" w:cs="Arial"/>
        </w:rPr>
        <w:t>HCT</w:t>
      </w:r>
      <w:r w:rsidR="00AB3FA1">
        <w:rPr>
          <w:rFonts w:ascii="Arial Narrow" w:hAnsi="Arial Narrow" w:cs="Arial"/>
        </w:rPr>
        <w:t>)</w:t>
      </w:r>
      <w:r w:rsidRPr="00AB3FA1">
        <w:rPr>
          <w:rFonts w:ascii="Arial Narrow" w:hAnsi="Arial Narrow" w:cs="Arial"/>
        </w:rPr>
        <w:t xml:space="preserve"> will conduct a planning workshop to determine the overall Strategic Objectives (S</w:t>
      </w:r>
      <w:r w:rsidR="005E24B0">
        <w:rPr>
          <w:rFonts w:ascii="Arial Narrow" w:hAnsi="Arial Narrow" w:cs="Arial"/>
        </w:rPr>
        <w:t>O) of the response, and define</w:t>
      </w:r>
      <w:r w:rsidRPr="00AB3FA1">
        <w:rPr>
          <w:rFonts w:ascii="Arial Narrow" w:hAnsi="Arial Narrow" w:cs="Arial"/>
        </w:rPr>
        <w:t xml:space="preserve"> the parameters, boundaries and assumptions of the response. </w:t>
      </w:r>
    </w:p>
    <w:p w:rsidR="000664CA" w:rsidRPr="00AB3FA1" w:rsidRDefault="000664CA" w:rsidP="00AB3FA1">
      <w:pPr>
        <w:spacing w:after="0"/>
        <w:jc w:val="both"/>
        <w:rPr>
          <w:rFonts w:ascii="Arial Narrow" w:hAnsi="Arial Narrow" w:cs="Arial"/>
        </w:rPr>
      </w:pPr>
    </w:p>
    <w:p w:rsidR="000664CA" w:rsidRPr="00AB3FA1" w:rsidRDefault="000664CA" w:rsidP="00AB3FA1">
      <w:pPr>
        <w:spacing w:after="0"/>
        <w:jc w:val="both"/>
        <w:rPr>
          <w:rFonts w:ascii="Arial Narrow" w:hAnsi="Arial Narrow" w:cs="Arial"/>
        </w:rPr>
      </w:pPr>
      <w:r w:rsidRPr="00AB3FA1">
        <w:rPr>
          <w:rFonts w:ascii="Arial Narrow" w:hAnsi="Arial Narrow" w:cs="Arial"/>
        </w:rPr>
        <w:t>Using the SOs, the relevant clusters that would contribute to each SOs agree on how to collaborate and ensure an integrated a</w:t>
      </w:r>
      <w:r w:rsidR="005E24B0">
        <w:rPr>
          <w:rFonts w:ascii="Arial Narrow" w:hAnsi="Arial Narrow" w:cs="Arial"/>
        </w:rPr>
        <w:t>pproach upon</w:t>
      </w:r>
      <w:r w:rsidR="00C11929" w:rsidRPr="00AB3FA1">
        <w:rPr>
          <w:rFonts w:ascii="Arial Narrow" w:hAnsi="Arial Narrow" w:cs="Arial"/>
        </w:rPr>
        <w:t xml:space="preserve"> each SO</w:t>
      </w:r>
      <w:r w:rsidRPr="00AB3FA1">
        <w:rPr>
          <w:rFonts w:ascii="Arial Narrow" w:hAnsi="Arial Narrow" w:cs="Arial"/>
        </w:rPr>
        <w:t xml:space="preserve">. </w:t>
      </w:r>
      <w:r w:rsidR="00E00A0C" w:rsidRPr="00AB3FA1">
        <w:rPr>
          <w:rFonts w:ascii="Arial Narrow" w:hAnsi="Arial Narrow" w:cs="Arial"/>
        </w:rPr>
        <w:t>Formal or informal agreement on areas of overlap with other clusters will be important to identify and agree on respe</w:t>
      </w:r>
      <w:r w:rsidR="00621B45" w:rsidRPr="00AB3FA1">
        <w:rPr>
          <w:rFonts w:ascii="Arial Narrow" w:hAnsi="Arial Narrow" w:cs="Arial"/>
        </w:rPr>
        <w:t xml:space="preserve">ctive roles &amp; responsibilities e.g. will Education or WASH cover WASH in Schools; will Shelter or WASH cover WASH facilities in Shelters; etc. (refer to the inter-cluster matrices in the support pack). Having defined how to work together, the Clusters then develop cluster response plans, </w:t>
      </w:r>
      <w:proofErr w:type="spellStart"/>
      <w:r w:rsidR="00621B45" w:rsidRPr="00AB3FA1">
        <w:rPr>
          <w:rFonts w:ascii="Arial Narrow" w:hAnsi="Arial Narrow" w:cs="Arial"/>
        </w:rPr>
        <w:t>logframes</w:t>
      </w:r>
      <w:proofErr w:type="spellEnd"/>
      <w:r w:rsidR="00621B45" w:rsidRPr="00AB3FA1">
        <w:rPr>
          <w:rFonts w:ascii="Arial Narrow" w:hAnsi="Arial Narrow" w:cs="Arial"/>
        </w:rPr>
        <w:t xml:space="preserve"> and priorities to contribute to the overall country strategy / SOs.</w:t>
      </w:r>
    </w:p>
    <w:p w:rsidR="000664CA" w:rsidRPr="00AB3FA1" w:rsidRDefault="000664CA" w:rsidP="00AB3FA1">
      <w:pPr>
        <w:pStyle w:val="Default"/>
        <w:jc w:val="both"/>
        <w:rPr>
          <w:rFonts w:ascii="Arial Narrow" w:hAnsi="Arial Narrow"/>
        </w:rPr>
      </w:pPr>
    </w:p>
    <w:p w:rsidR="000664CA" w:rsidRPr="00AB3FA1" w:rsidRDefault="005E24B0" w:rsidP="00AB3FA1">
      <w:pPr>
        <w:pStyle w:val="Default"/>
        <w:jc w:val="both"/>
        <w:rPr>
          <w:rFonts w:ascii="Arial Narrow" w:hAnsi="Arial Narrow"/>
          <w:sz w:val="22"/>
          <w:szCs w:val="22"/>
        </w:rPr>
      </w:pPr>
      <w:r>
        <w:rPr>
          <w:rFonts w:ascii="Arial Narrow" w:hAnsi="Arial Narrow"/>
          <w:sz w:val="22"/>
          <w:szCs w:val="22"/>
        </w:rPr>
        <w:t>The WASH Cluster Coordinator</w:t>
      </w:r>
      <w:r w:rsidR="000664CA" w:rsidRPr="00AB3FA1">
        <w:rPr>
          <w:rFonts w:ascii="Arial Narrow" w:hAnsi="Arial Narrow"/>
          <w:sz w:val="22"/>
          <w:szCs w:val="22"/>
        </w:rPr>
        <w:t xml:space="preserve"> develop</w:t>
      </w:r>
      <w:r>
        <w:rPr>
          <w:rFonts w:ascii="Arial Narrow" w:hAnsi="Arial Narrow"/>
          <w:sz w:val="22"/>
          <w:szCs w:val="22"/>
        </w:rPr>
        <w:t>s</w:t>
      </w:r>
      <w:r w:rsidR="000664CA" w:rsidRPr="00AB3FA1">
        <w:rPr>
          <w:rFonts w:ascii="Arial Narrow" w:hAnsi="Arial Narrow"/>
          <w:sz w:val="22"/>
          <w:szCs w:val="22"/>
        </w:rPr>
        <w:t xml:space="preserve"> the WASH HRP in collaboration with a Strategic Advisory Group (SAG)</w:t>
      </w:r>
      <w:r w:rsidR="00C11929" w:rsidRPr="00AB3FA1">
        <w:rPr>
          <w:rFonts w:ascii="Arial Narrow" w:hAnsi="Arial Narrow"/>
          <w:sz w:val="22"/>
          <w:szCs w:val="22"/>
        </w:rPr>
        <w:t>, and may draw from an existing Strategic Operating Framework (SOF), or use the HRP process to develop a more detailed SOF</w:t>
      </w:r>
      <w:r w:rsidR="000664CA" w:rsidRPr="00AB3FA1">
        <w:rPr>
          <w:rFonts w:ascii="Arial Narrow" w:hAnsi="Arial Narrow"/>
          <w:sz w:val="22"/>
          <w:szCs w:val="22"/>
        </w:rPr>
        <w:t xml:space="preserve">. </w:t>
      </w:r>
      <w:r>
        <w:rPr>
          <w:rFonts w:ascii="Arial Narrow" w:hAnsi="Arial Narrow"/>
          <w:sz w:val="22"/>
          <w:szCs w:val="22"/>
        </w:rPr>
        <w:t>T</w:t>
      </w:r>
      <w:r w:rsidR="000664CA" w:rsidRPr="00AB3FA1">
        <w:rPr>
          <w:rFonts w:ascii="Arial Narrow" w:hAnsi="Arial Narrow"/>
          <w:sz w:val="22"/>
          <w:szCs w:val="22"/>
        </w:rPr>
        <w:t xml:space="preserve">he WASH </w:t>
      </w:r>
      <w:r w:rsidR="00CE0B8C">
        <w:rPr>
          <w:rFonts w:ascii="Arial Narrow" w:hAnsi="Arial Narrow"/>
          <w:sz w:val="22"/>
          <w:szCs w:val="22"/>
        </w:rPr>
        <w:t>Information Management Officer (</w:t>
      </w:r>
      <w:r w:rsidR="000664CA" w:rsidRPr="00AB3FA1">
        <w:rPr>
          <w:rFonts w:ascii="Arial Narrow" w:hAnsi="Arial Narrow"/>
          <w:sz w:val="22"/>
          <w:szCs w:val="22"/>
        </w:rPr>
        <w:t>IMO</w:t>
      </w:r>
      <w:r w:rsidR="00CE0B8C">
        <w:rPr>
          <w:rFonts w:ascii="Arial Narrow" w:hAnsi="Arial Narrow"/>
          <w:sz w:val="22"/>
          <w:szCs w:val="22"/>
        </w:rPr>
        <w:t>)</w:t>
      </w:r>
      <w:r w:rsidR="000664CA" w:rsidRPr="00AB3FA1">
        <w:rPr>
          <w:rFonts w:ascii="Arial Narrow" w:hAnsi="Arial Narrow"/>
          <w:sz w:val="22"/>
          <w:szCs w:val="22"/>
        </w:rPr>
        <w:t xml:space="preserve"> will be involved in the identification of needs, partner capacity and WASH Cluster caseload information for the Strategy, in addition to helping identify the appropriate (</w:t>
      </w:r>
      <w:r w:rsidR="00A8003A">
        <w:rPr>
          <w:rFonts w:ascii="Arial Narrow" w:hAnsi="Arial Narrow"/>
          <w:sz w:val="22"/>
          <w:szCs w:val="22"/>
        </w:rPr>
        <w:t>i</w:t>
      </w:r>
      <w:r w:rsidR="00654339">
        <w:rPr>
          <w:rFonts w:ascii="Arial Narrow" w:hAnsi="Arial Narrow"/>
          <w:sz w:val="22"/>
          <w:szCs w:val="22"/>
        </w:rPr>
        <w:t>.</w:t>
      </w:r>
      <w:r w:rsidR="00A8003A">
        <w:rPr>
          <w:rFonts w:ascii="Arial Narrow" w:hAnsi="Arial Narrow"/>
          <w:sz w:val="22"/>
          <w:szCs w:val="22"/>
        </w:rPr>
        <w:t>e</w:t>
      </w:r>
      <w:r w:rsidR="00654339">
        <w:rPr>
          <w:rFonts w:ascii="Arial Narrow" w:hAnsi="Arial Narrow"/>
          <w:sz w:val="22"/>
          <w:szCs w:val="22"/>
        </w:rPr>
        <w:t>.</w:t>
      </w:r>
      <w:r w:rsidR="00A8003A">
        <w:rPr>
          <w:rFonts w:ascii="Arial Narrow" w:hAnsi="Arial Narrow"/>
          <w:sz w:val="22"/>
          <w:szCs w:val="22"/>
        </w:rPr>
        <w:t xml:space="preserve"> </w:t>
      </w:r>
      <w:r w:rsidR="000664CA" w:rsidRPr="00AB3FA1">
        <w:rPr>
          <w:rFonts w:ascii="Arial Narrow" w:hAnsi="Arial Narrow"/>
          <w:sz w:val="22"/>
          <w:szCs w:val="22"/>
        </w:rPr>
        <w:t>measureable) indicators</w:t>
      </w:r>
      <w:r>
        <w:rPr>
          <w:rFonts w:ascii="Arial Narrow" w:hAnsi="Arial Narrow"/>
          <w:sz w:val="22"/>
          <w:szCs w:val="22"/>
        </w:rPr>
        <w:t xml:space="preserve">, but </w:t>
      </w:r>
      <w:r w:rsidRPr="00AB3FA1">
        <w:rPr>
          <w:rFonts w:ascii="Arial Narrow" w:hAnsi="Arial Narrow"/>
          <w:sz w:val="22"/>
          <w:szCs w:val="22"/>
        </w:rPr>
        <w:t>will not</w:t>
      </w:r>
      <w:r>
        <w:rPr>
          <w:rFonts w:ascii="Arial Narrow" w:hAnsi="Arial Narrow"/>
          <w:sz w:val="22"/>
          <w:szCs w:val="22"/>
        </w:rPr>
        <w:t xml:space="preserve"> necessarily</w:t>
      </w:r>
      <w:r w:rsidRPr="00AB3FA1">
        <w:rPr>
          <w:rFonts w:ascii="Arial Narrow" w:hAnsi="Arial Narrow"/>
          <w:sz w:val="22"/>
          <w:szCs w:val="22"/>
        </w:rPr>
        <w:t xml:space="preserve"> be involved in developing the technical aspects of the WASH HRP</w:t>
      </w:r>
      <w:r w:rsidR="000664CA" w:rsidRPr="00AB3FA1">
        <w:rPr>
          <w:rFonts w:ascii="Arial Narrow" w:hAnsi="Arial Narrow"/>
          <w:sz w:val="22"/>
          <w:szCs w:val="22"/>
        </w:rPr>
        <w:t xml:space="preserve">. </w:t>
      </w:r>
    </w:p>
    <w:p w:rsidR="00621B45" w:rsidRPr="00AB3FA1" w:rsidRDefault="00621B45" w:rsidP="00AB3FA1">
      <w:pPr>
        <w:pStyle w:val="Default"/>
        <w:jc w:val="both"/>
        <w:rPr>
          <w:rFonts w:ascii="Arial Narrow" w:hAnsi="Arial Narrow"/>
          <w:sz w:val="22"/>
          <w:szCs w:val="22"/>
        </w:rPr>
      </w:pPr>
    </w:p>
    <w:p w:rsidR="00621B45" w:rsidRPr="00AB3FA1" w:rsidRDefault="00621B45" w:rsidP="00AB3FA1">
      <w:pPr>
        <w:spacing w:after="0"/>
        <w:jc w:val="both"/>
        <w:rPr>
          <w:rFonts w:ascii="Arial Narrow" w:hAnsi="Arial Narrow"/>
        </w:rPr>
      </w:pPr>
      <w:r w:rsidRPr="00AB3FA1">
        <w:rPr>
          <w:rFonts w:ascii="Arial Narrow" w:hAnsi="Arial Narrow"/>
        </w:rPr>
        <w:t xml:space="preserve">The </w:t>
      </w:r>
      <w:r w:rsidR="00A8003A">
        <w:rPr>
          <w:rFonts w:ascii="Arial Narrow" w:hAnsi="Arial Narrow"/>
        </w:rPr>
        <w:t>C</w:t>
      </w:r>
      <w:r w:rsidRPr="00AB3FA1">
        <w:rPr>
          <w:rFonts w:ascii="Arial Narrow" w:hAnsi="Arial Narrow"/>
        </w:rPr>
        <w:t xml:space="preserve">luster </w:t>
      </w:r>
      <w:r w:rsidR="00A8003A">
        <w:rPr>
          <w:rFonts w:ascii="Arial Narrow" w:hAnsi="Arial Narrow"/>
        </w:rPr>
        <w:t>C</w:t>
      </w:r>
      <w:r w:rsidRPr="00AB3FA1">
        <w:rPr>
          <w:rFonts w:ascii="Arial Narrow" w:hAnsi="Arial Narrow"/>
        </w:rPr>
        <w:t xml:space="preserve">oordination </w:t>
      </w:r>
      <w:r w:rsidR="00A8003A">
        <w:rPr>
          <w:rFonts w:ascii="Arial Narrow" w:hAnsi="Arial Narrow"/>
        </w:rPr>
        <w:t>U</w:t>
      </w:r>
      <w:r w:rsidRPr="00AB3FA1">
        <w:rPr>
          <w:rFonts w:ascii="Arial Narrow" w:hAnsi="Arial Narrow"/>
        </w:rPr>
        <w:t>nit will also organise a transparent project validation process, for which clear selection criteria will need to be elaborated, ideally in conjunction with the SAG. It is critical that these are considered and communicated to cluster partners</w:t>
      </w:r>
      <w:r w:rsidR="00A8003A">
        <w:rPr>
          <w:rFonts w:ascii="Arial Narrow" w:hAnsi="Arial Narrow"/>
        </w:rPr>
        <w:t>.</w:t>
      </w:r>
      <w:r w:rsidRPr="00AB3FA1">
        <w:rPr>
          <w:rFonts w:ascii="Arial Narrow" w:hAnsi="Arial Narrow"/>
        </w:rPr>
        <w:t xml:space="preserve"> </w:t>
      </w:r>
      <w:r w:rsidR="00A8003A">
        <w:rPr>
          <w:rFonts w:ascii="Arial Narrow" w:hAnsi="Arial Narrow"/>
        </w:rPr>
        <w:t>S</w:t>
      </w:r>
      <w:r w:rsidRPr="00AB3FA1">
        <w:rPr>
          <w:rFonts w:ascii="Arial Narrow" w:hAnsi="Arial Narrow"/>
        </w:rPr>
        <w:t>ome key tips in this regard</w:t>
      </w:r>
      <w:r w:rsidR="00A8003A">
        <w:rPr>
          <w:rFonts w:ascii="Arial Narrow" w:hAnsi="Arial Narrow"/>
        </w:rPr>
        <w:t xml:space="preserve"> include</w:t>
      </w:r>
      <w:r w:rsidRPr="00AB3FA1">
        <w:rPr>
          <w:rFonts w:ascii="Arial Narrow" w:hAnsi="Arial Narrow"/>
        </w:rPr>
        <w:t>:</w:t>
      </w:r>
    </w:p>
    <w:p w:rsidR="00621B45" w:rsidRPr="00AB3FA1" w:rsidRDefault="00621B45" w:rsidP="00AB3FA1">
      <w:pPr>
        <w:pStyle w:val="ListParagraph"/>
        <w:numPr>
          <w:ilvl w:val="0"/>
          <w:numId w:val="29"/>
        </w:numPr>
        <w:spacing w:after="0"/>
        <w:jc w:val="both"/>
        <w:rPr>
          <w:rFonts w:ascii="Arial Narrow" w:hAnsi="Arial Narrow"/>
        </w:rPr>
      </w:pPr>
      <w:r w:rsidRPr="00AB3FA1">
        <w:rPr>
          <w:rFonts w:ascii="Arial Narrow" w:hAnsi="Arial Narrow"/>
        </w:rPr>
        <w:t>Easy identification of duplications or gaps requires the use of the Enhanced Geographic Fields (EGFs) as detailed in folder ‘3. For Partners’</w:t>
      </w:r>
    </w:p>
    <w:p w:rsidR="000908B7" w:rsidRPr="00AB3FA1" w:rsidRDefault="000908B7" w:rsidP="00AB3FA1">
      <w:pPr>
        <w:pStyle w:val="ListParagraph"/>
        <w:numPr>
          <w:ilvl w:val="0"/>
          <w:numId w:val="29"/>
        </w:numPr>
        <w:spacing w:after="0"/>
        <w:jc w:val="both"/>
        <w:rPr>
          <w:rFonts w:ascii="Arial Narrow" w:hAnsi="Arial Narrow"/>
        </w:rPr>
      </w:pPr>
      <w:r w:rsidRPr="00AB3FA1">
        <w:rPr>
          <w:rFonts w:ascii="Arial Narrow" w:hAnsi="Arial Narrow"/>
        </w:rPr>
        <w:t>Use of ‘indirect costs’ as a selection criteria will require agreement on the definition of ‘indirect costs’</w:t>
      </w:r>
    </w:p>
    <w:p w:rsidR="000908B7" w:rsidRPr="00AB3FA1" w:rsidRDefault="000908B7" w:rsidP="00AB3FA1">
      <w:pPr>
        <w:pStyle w:val="ListParagraph"/>
        <w:numPr>
          <w:ilvl w:val="0"/>
          <w:numId w:val="29"/>
        </w:numPr>
        <w:spacing w:after="0"/>
        <w:jc w:val="both"/>
        <w:rPr>
          <w:rFonts w:ascii="Arial Narrow" w:hAnsi="Arial Narrow"/>
        </w:rPr>
      </w:pPr>
      <w:r w:rsidRPr="00AB3FA1">
        <w:rPr>
          <w:rFonts w:ascii="Arial Narrow" w:hAnsi="Arial Narrow"/>
        </w:rPr>
        <w:lastRenderedPageBreak/>
        <w:t xml:space="preserve">Agreement with other key clusters as to how to manage joint reviews / multi-sectoral projects – e.g. WASH in Schools – within the overall HRP timeline.  </w:t>
      </w:r>
    </w:p>
    <w:p w:rsidR="000908B7" w:rsidRPr="00AB3FA1" w:rsidRDefault="000908B7" w:rsidP="00AB3FA1">
      <w:pPr>
        <w:spacing w:after="0"/>
        <w:jc w:val="both"/>
        <w:rPr>
          <w:rFonts w:ascii="Arial Narrow" w:hAnsi="Arial Narrow"/>
        </w:rPr>
      </w:pPr>
    </w:p>
    <w:p w:rsidR="000908B7" w:rsidRPr="00AB3FA1" w:rsidRDefault="000908B7" w:rsidP="00AB3FA1">
      <w:pPr>
        <w:spacing w:after="0"/>
        <w:jc w:val="both"/>
        <w:rPr>
          <w:rFonts w:ascii="Arial Narrow" w:hAnsi="Arial Narrow"/>
        </w:rPr>
      </w:pPr>
      <w:r w:rsidRPr="00AB3FA1">
        <w:rPr>
          <w:rFonts w:ascii="Arial Narrow" w:hAnsi="Arial Narrow"/>
        </w:rPr>
        <w:t>While the SRP and WASH SOF are being finalised, the WASH IMO should, in tandem</w:t>
      </w:r>
      <w:r w:rsidR="005E24B0">
        <w:rPr>
          <w:rFonts w:ascii="Arial Narrow" w:hAnsi="Arial Narrow"/>
        </w:rPr>
        <w:t xml:space="preserve"> and in consultation with the coordinator</w:t>
      </w:r>
      <w:r w:rsidRPr="00AB3FA1">
        <w:rPr>
          <w:rFonts w:ascii="Arial Narrow" w:hAnsi="Arial Narrow"/>
        </w:rPr>
        <w:t>, be developing the WASH response monitoring system</w:t>
      </w:r>
      <w:r w:rsidR="005E24B0">
        <w:rPr>
          <w:rFonts w:ascii="Arial Narrow" w:hAnsi="Arial Narrow"/>
        </w:rPr>
        <w:t>, starting with the main monitoring tool</w:t>
      </w:r>
      <w:r w:rsidRPr="00AB3FA1">
        <w:rPr>
          <w:rFonts w:ascii="Arial Narrow" w:hAnsi="Arial Narrow"/>
        </w:rPr>
        <w:t xml:space="preserve"> (also known as the 4W</w:t>
      </w:r>
      <w:r w:rsidR="00A8003A">
        <w:rPr>
          <w:rFonts w:ascii="Arial Narrow" w:hAnsi="Arial Narrow"/>
        </w:rPr>
        <w:t>s</w:t>
      </w:r>
      <w:r w:rsidRPr="00AB3FA1">
        <w:rPr>
          <w:rFonts w:ascii="Arial Narrow" w:hAnsi="Arial Narrow"/>
        </w:rPr>
        <w:t>). The system is critical to the coordination of a response. The system will track the progress of the Cluster against the targets that have been agreed (defined from information on the needs, capacity and caseload exercises).</w:t>
      </w:r>
    </w:p>
    <w:p w:rsidR="005A03E6" w:rsidRPr="00AB3FA1" w:rsidRDefault="005A03E6" w:rsidP="00AB3FA1">
      <w:pPr>
        <w:spacing w:after="0"/>
        <w:jc w:val="both"/>
        <w:rPr>
          <w:rFonts w:ascii="Arial Narrow" w:hAnsi="Arial Narrow" w:cs="Arial"/>
        </w:rPr>
      </w:pPr>
    </w:p>
    <w:p w:rsidR="00D40B1E" w:rsidRPr="00AB3FA1" w:rsidRDefault="00D22969" w:rsidP="00AB3FA1">
      <w:pPr>
        <w:pStyle w:val="SubheadingWASH"/>
        <w:jc w:val="both"/>
        <w:rPr>
          <w:rFonts w:ascii="Arial Narrow" w:hAnsi="Arial Narrow"/>
        </w:rPr>
      </w:pPr>
      <w:bookmarkStart w:id="1" w:name="_Toc456776657"/>
      <w:r w:rsidRPr="00AB3FA1">
        <w:rPr>
          <w:rFonts w:ascii="Arial Narrow" w:hAnsi="Arial Narrow"/>
        </w:rPr>
        <w:t>Key Guidance</w:t>
      </w:r>
      <w:bookmarkEnd w:id="1"/>
    </w:p>
    <w:p w:rsidR="007B1C77" w:rsidRPr="00AB3FA1" w:rsidRDefault="00134E8B">
      <w:pPr>
        <w:spacing w:after="0"/>
        <w:jc w:val="both"/>
        <w:rPr>
          <w:rFonts w:ascii="Arial Narrow" w:hAnsi="Arial Narrow" w:cs="Arial"/>
        </w:rPr>
      </w:pPr>
      <w:r w:rsidRPr="00AB3FA1">
        <w:rPr>
          <w:rFonts w:ascii="Arial Narrow" w:hAnsi="Arial Narrow" w:cs="Arial"/>
        </w:rPr>
        <w:t>This process is described in detail in the SRP Guidance 2015 in the resource pack, alongside the current HRP template,</w:t>
      </w:r>
      <w:r w:rsidR="007B1C77" w:rsidRPr="00AB3FA1">
        <w:rPr>
          <w:rFonts w:ascii="Arial Narrow" w:hAnsi="Arial Narrow" w:cs="Arial"/>
        </w:rPr>
        <w:t xml:space="preserve"> </w:t>
      </w:r>
      <w:r w:rsidRPr="00AB3FA1">
        <w:rPr>
          <w:rFonts w:ascii="Arial Narrow" w:hAnsi="Arial Narrow" w:cs="Arial"/>
        </w:rPr>
        <w:t xml:space="preserve">examples </w:t>
      </w:r>
      <w:r w:rsidR="007B1C77" w:rsidRPr="00AB3FA1">
        <w:rPr>
          <w:rFonts w:ascii="Arial Narrow" w:hAnsi="Arial Narrow" w:cs="Arial"/>
        </w:rPr>
        <w:t xml:space="preserve">of country / cluster </w:t>
      </w:r>
      <w:proofErr w:type="spellStart"/>
      <w:r w:rsidR="007B1C77" w:rsidRPr="00AB3FA1">
        <w:rPr>
          <w:rFonts w:ascii="Arial Narrow" w:hAnsi="Arial Narrow" w:cs="Arial"/>
        </w:rPr>
        <w:t>logframes</w:t>
      </w:r>
      <w:proofErr w:type="spellEnd"/>
      <w:r w:rsidR="007B1C77" w:rsidRPr="00AB3FA1">
        <w:rPr>
          <w:rFonts w:ascii="Arial Narrow" w:hAnsi="Arial Narrow" w:cs="Arial"/>
        </w:rPr>
        <w:t xml:space="preserve">, and various explicative notes. </w:t>
      </w:r>
    </w:p>
    <w:p w:rsidR="005A03E6" w:rsidRPr="00AB3FA1" w:rsidRDefault="007B1C77">
      <w:pPr>
        <w:spacing w:after="0"/>
        <w:jc w:val="both"/>
        <w:rPr>
          <w:rFonts w:ascii="Arial Narrow" w:hAnsi="Arial Narrow" w:cs="Arial"/>
        </w:rPr>
      </w:pPr>
      <w:r w:rsidRPr="00AB3FA1">
        <w:rPr>
          <w:rFonts w:ascii="Arial Narrow" w:hAnsi="Arial Narrow" w:cs="Arial"/>
        </w:rPr>
        <w:t xml:space="preserve">More information can be found: </w:t>
      </w:r>
      <w:hyperlink r:id="rId9" w:history="1">
        <w:r w:rsidRPr="00AB3FA1">
          <w:rPr>
            <w:rStyle w:val="Hyperlink"/>
            <w:rFonts w:ascii="Arial Narrow" w:hAnsi="Arial Narrow" w:cs="Arial"/>
          </w:rPr>
          <w:t>https://www.humanitarianresponse.info/en/programme-cycle/space/page/strategic-response-planning</w:t>
        </w:r>
      </w:hyperlink>
      <w:r w:rsidRPr="00AB3FA1">
        <w:rPr>
          <w:rFonts w:ascii="Arial Narrow" w:hAnsi="Arial Narrow" w:cs="Arial"/>
        </w:rPr>
        <w:t xml:space="preserve"> </w:t>
      </w:r>
    </w:p>
    <w:p w:rsidR="00D40B1E" w:rsidRPr="00AB3FA1" w:rsidRDefault="005A03E6" w:rsidP="00AB3FA1">
      <w:pPr>
        <w:pStyle w:val="heading1wash"/>
        <w:rPr>
          <w:rFonts w:ascii="Arial Narrow" w:hAnsi="Arial Narrow"/>
        </w:rPr>
      </w:pPr>
      <w:bookmarkStart w:id="2" w:name="_Toc456776658"/>
      <w:r w:rsidRPr="00AB3FA1">
        <w:rPr>
          <w:rFonts w:ascii="Arial Narrow" w:hAnsi="Arial Narrow"/>
        </w:rPr>
        <w:t>T</w:t>
      </w:r>
      <w:r w:rsidR="006F2E05" w:rsidRPr="00AB3FA1">
        <w:rPr>
          <w:rFonts w:ascii="Arial Narrow" w:hAnsi="Arial Narrow"/>
        </w:rPr>
        <w:t>ools &amp; Resources</w:t>
      </w:r>
      <w:bookmarkEnd w:id="2"/>
    </w:p>
    <w:p w:rsidR="00BA2340" w:rsidRPr="00AB3FA1" w:rsidRDefault="002B62DB" w:rsidP="00AB3FA1">
      <w:pPr>
        <w:jc w:val="both"/>
        <w:rPr>
          <w:rFonts w:ascii="Arial Narrow" w:hAnsi="Arial Narrow" w:cs="Arial"/>
        </w:rPr>
      </w:pPr>
      <w:r w:rsidRPr="00AB3FA1">
        <w:rPr>
          <w:rFonts w:ascii="Arial Narrow" w:hAnsi="Arial Narrow" w:cs="Arial"/>
        </w:rPr>
        <w:t xml:space="preserve">The GWC has developed various tools </w:t>
      </w:r>
      <w:r w:rsidR="00B076F3" w:rsidRPr="00AB3FA1">
        <w:rPr>
          <w:rFonts w:ascii="Arial Narrow" w:hAnsi="Arial Narrow" w:cs="Arial"/>
        </w:rPr>
        <w:t xml:space="preserve">and resources </w:t>
      </w:r>
      <w:r w:rsidRPr="00AB3FA1">
        <w:rPr>
          <w:rFonts w:ascii="Arial Narrow" w:hAnsi="Arial Narrow" w:cs="Arial"/>
        </w:rPr>
        <w:t>over the years to support the Strategic Planning Process</w:t>
      </w:r>
      <w:r w:rsidR="00B076F3" w:rsidRPr="00AB3FA1">
        <w:rPr>
          <w:rFonts w:ascii="Arial Narrow" w:hAnsi="Arial Narrow" w:cs="Arial"/>
        </w:rPr>
        <w:t xml:space="preserve"> (all found in the resource pack)</w:t>
      </w:r>
      <w:r w:rsidRPr="00AB3FA1">
        <w:rPr>
          <w:rFonts w:ascii="Arial Narrow" w:hAnsi="Arial Narrow" w:cs="Arial"/>
        </w:rPr>
        <w:t>:</w:t>
      </w:r>
    </w:p>
    <w:p w:rsidR="005B7DF6" w:rsidRPr="00AB3FA1" w:rsidRDefault="002B62DB" w:rsidP="00AB3FA1">
      <w:pPr>
        <w:pStyle w:val="ListParagraph"/>
        <w:numPr>
          <w:ilvl w:val="0"/>
          <w:numId w:val="27"/>
        </w:numPr>
        <w:jc w:val="both"/>
        <w:rPr>
          <w:rFonts w:ascii="Arial Narrow" w:hAnsi="Arial Narrow" w:cs="Arial"/>
        </w:rPr>
      </w:pPr>
      <w:r w:rsidRPr="00AB3FA1">
        <w:rPr>
          <w:rFonts w:ascii="Arial Narrow" w:hAnsi="Arial Narrow" w:cs="Arial"/>
        </w:rPr>
        <w:t>Strategic Operating Framework</w:t>
      </w:r>
      <w:r w:rsidR="00614937" w:rsidRPr="00AB3FA1">
        <w:rPr>
          <w:rFonts w:ascii="Arial Narrow" w:hAnsi="Arial Narrow" w:cs="Arial"/>
        </w:rPr>
        <w:t xml:space="preserve"> </w:t>
      </w:r>
    </w:p>
    <w:p w:rsidR="00614937" w:rsidRPr="00AB3FA1" w:rsidRDefault="00614937" w:rsidP="00AB3FA1">
      <w:pPr>
        <w:pStyle w:val="ListParagraph"/>
        <w:numPr>
          <w:ilvl w:val="1"/>
          <w:numId w:val="27"/>
        </w:numPr>
        <w:jc w:val="both"/>
        <w:rPr>
          <w:rFonts w:ascii="Arial Narrow" w:hAnsi="Arial Narrow" w:cs="Arial"/>
        </w:rPr>
      </w:pPr>
      <w:r w:rsidRPr="00AB3FA1">
        <w:rPr>
          <w:rFonts w:ascii="Arial Narrow" w:hAnsi="Arial Narrow" w:cs="Arial"/>
        </w:rPr>
        <w:t xml:space="preserve">A guide on how to develop a SOF – overlapping and complementary to many key elements of the HRP (e.g. standards; data flows; priority activities; best practice outputs from TWGs). The iterative document provides orientation to any incoming WASH actor, and can be drawn on in the development of any HRP. </w:t>
      </w:r>
    </w:p>
    <w:p w:rsidR="008A76EE" w:rsidRPr="00AB3FA1" w:rsidRDefault="008A76EE" w:rsidP="00AB3FA1">
      <w:pPr>
        <w:pStyle w:val="ListParagraph"/>
        <w:jc w:val="both"/>
        <w:rPr>
          <w:rFonts w:ascii="Arial Narrow" w:hAnsi="Arial Narrow" w:cs="Arial"/>
        </w:rPr>
      </w:pPr>
    </w:p>
    <w:p w:rsidR="002B62DB" w:rsidRPr="00AB3FA1" w:rsidRDefault="002B62DB" w:rsidP="00AB3FA1">
      <w:pPr>
        <w:pStyle w:val="ListParagraph"/>
        <w:numPr>
          <w:ilvl w:val="0"/>
          <w:numId w:val="27"/>
        </w:numPr>
        <w:jc w:val="both"/>
        <w:rPr>
          <w:rFonts w:ascii="Arial Narrow" w:hAnsi="Arial Narrow" w:cs="Arial"/>
        </w:rPr>
      </w:pPr>
      <w:r w:rsidRPr="00AB3FA1">
        <w:rPr>
          <w:rFonts w:ascii="Arial Narrow" w:hAnsi="Arial Narrow" w:cs="Arial"/>
        </w:rPr>
        <w:t>Inter-Cluster Matrices</w:t>
      </w:r>
    </w:p>
    <w:p w:rsidR="00614937" w:rsidRPr="00A8003A" w:rsidRDefault="002B62DB" w:rsidP="00AB3FA1">
      <w:pPr>
        <w:pStyle w:val="ListParagraph"/>
        <w:numPr>
          <w:ilvl w:val="1"/>
          <w:numId w:val="27"/>
        </w:numPr>
        <w:jc w:val="both"/>
        <w:rPr>
          <w:rFonts w:ascii="Arial Narrow" w:hAnsi="Arial Narrow" w:cs="Arial"/>
        </w:rPr>
      </w:pPr>
      <w:r w:rsidRPr="00AB3FA1">
        <w:rPr>
          <w:rFonts w:ascii="Arial Narrow" w:hAnsi="Arial Narrow" w:cs="Arial"/>
        </w:rPr>
        <w:t>Inter-Cluster Matrices of Roles &amp; Accountabilities</w:t>
      </w:r>
      <w:r w:rsidR="00614937" w:rsidRPr="00AB3FA1">
        <w:rPr>
          <w:rFonts w:ascii="Arial Narrow" w:hAnsi="Arial Narrow" w:cs="Arial"/>
        </w:rPr>
        <w:t>: global-level agreements on the respective roles and accountabilities of Clusters in areas of potential overlap. As a general rule, this seeks to ensure that other Clusters take responsibility for the WASH aspects within their institutions (e.g. health centers; schools; etc.), while WASH is resp</w:t>
      </w:r>
      <w:r w:rsidR="00614937" w:rsidRPr="00A8003A">
        <w:rPr>
          <w:rFonts w:ascii="Arial Narrow" w:hAnsi="Arial Narrow" w:cs="Arial"/>
        </w:rPr>
        <w:t>onsible outside the institutions, and can provide tec</w:t>
      </w:r>
      <w:r w:rsidR="005E24B0">
        <w:rPr>
          <w:rFonts w:ascii="Arial Narrow" w:hAnsi="Arial Narrow" w:cs="Arial"/>
        </w:rPr>
        <w:t>hnical support, standards, etc.</w:t>
      </w:r>
      <w:r w:rsidR="00614937" w:rsidRPr="00A8003A">
        <w:rPr>
          <w:rFonts w:ascii="Arial Narrow" w:hAnsi="Arial Narrow" w:cs="Arial"/>
        </w:rPr>
        <w:t xml:space="preserve"> </w:t>
      </w:r>
    </w:p>
    <w:p w:rsidR="002B62DB" w:rsidRPr="00654339" w:rsidRDefault="00614937" w:rsidP="00654339">
      <w:pPr>
        <w:pStyle w:val="ListParagraph"/>
        <w:numPr>
          <w:ilvl w:val="2"/>
          <w:numId w:val="27"/>
        </w:numPr>
        <w:jc w:val="both"/>
        <w:rPr>
          <w:rFonts w:ascii="Arial Narrow" w:hAnsi="Arial Narrow"/>
        </w:rPr>
      </w:pPr>
      <w:r w:rsidRPr="00654339">
        <w:rPr>
          <w:rFonts w:ascii="Arial Narrow" w:hAnsi="Arial Narrow"/>
        </w:rPr>
        <w:t>These documents are intended to be adapted in-country, and will be important to define amongst Clusters around specific SOs, prior to the development of cluster / multi-cluster response plans.</w:t>
      </w:r>
    </w:p>
    <w:p w:rsidR="00614937" w:rsidRPr="00AB3FA1" w:rsidRDefault="00614937" w:rsidP="00AB3FA1">
      <w:pPr>
        <w:pStyle w:val="ListParagraph"/>
        <w:ind w:left="1440"/>
        <w:jc w:val="both"/>
        <w:rPr>
          <w:rFonts w:ascii="Arial Narrow" w:hAnsi="Arial Narrow" w:cs="Arial"/>
        </w:rPr>
      </w:pPr>
    </w:p>
    <w:p w:rsidR="005B7DF6" w:rsidRPr="00AB3FA1" w:rsidRDefault="002B62DB" w:rsidP="00AB3FA1">
      <w:pPr>
        <w:pStyle w:val="ListParagraph"/>
        <w:numPr>
          <w:ilvl w:val="0"/>
          <w:numId w:val="27"/>
        </w:numPr>
        <w:jc w:val="both"/>
        <w:rPr>
          <w:rFonts w:ascii="Arial Narrow" w:hAnsi="Arial Narrow" w:cs="Arial"/>
        </w:rPr>
      </w:pPr>
      <w:r w:rsidRPr="00AB3FA1">
        <w:rPr>
          <w:rFonts w:ascii="Arial Narrow" w:hAnsi="Arial Narrow" w:cs="Arial"/>
        </w:rPr>
        <w:t>IM Toolkit</w:t>
      </w:r>
      <w:r w:rsidR="005B7DF6" w:rsidRPr="00AB3FA1">
        <w:rPr>
          <w:rFonts w:ascii="Arial Narrow" w:hAnsi="Arial Narrow" w:cs="Arial"/>
        </w:rPr>
        <w:t>: Capacities</w:t>
      </w:r>
      <w:r w:rsidRPr="00AB3FA1">
        <w:rPr>
          <w:rFonts w:ascii="Arial Narrow" w:hAnsi="Arial Narrow" w:cs="Arial"/>
        </w:rPr>
        <w:t xml:space="preserve"> &amp; Caseload</w:t>
      </w:r>
      <w:r w:rsidR="005B7DF6" w:rsidRPr="00AB3FA1">
        <w:rPr>
          <w:rFonts w:ascii="Arial Narrow" w:hAnsi="Arial Narrow" w:cs="Arial"/>
        </w:rPr>
        <w:t xml:space="preserve"> </w:t>
      </w:r>
    </w:p>
    <w:p w:rsidR="005B7DF6" w:rsidRPr="00AB3FA1" w:rsidRDefault="005B7DF6" w:rsidP="00AB3FA1">
      <w:pPr>
        <w:pStyle w:val="ListParagraph"/>
        <w:numPr>
          <w:ilvl w:val="1"/>
          <w:numId w:val="27"/>
        </w:numPr>
        <w:jc w:val="both"/>
        <w:rPr>
          <w:rFonts w:ascii="Arial Narrow" w:hAnsi="Arial Narrow" w:cs="Arial"/>
        </w:rPr>
      </w:pPr>
      <w:r w:rsidRPr="00AB3FA1">
        <w:rPr>
          <w:rFonts w:ascii="Arial Narrow" w:hAnsi="Arial Narrow" w:cs="Arial"/>
        </w:rPr>
        <w:t>Guidance Notes on conducting capacity assessments and determining cluster caseloads. It</w:t>
      </w:r>
      <w:r w:rsidR="00A8003A">
        <w:rPr>
          <w:rFonts w:ascii="Arial Narrow" w:hAnsi="Arial Narrow" w:cs="Arial"/>
        </w:rPr>
        <w:t xml:space="preserve"> i</w:t>
      </w:r>
      <w:r w:rsidRPr="00AB3FA1">
        <w:rPr>
          <w:rFonts w:ascii="Arial Narrow" w:hAnsi="Arial Narrow" w:cs="Arial"/>
        </w:rPr>
        <w:t xml:space="preserve">s important to note that </w:t>
      </w:r>
      <w:r w:rsidR="00B01631" w:rsidRPr="00AB3FA1">
        <w:rPr>
          <w:rFonts w:ascii="Arial Narrow" w:hAnsi="Arial Narrow" w:cs="Arial"/>
        </w:rPr>
        <w:t xml:space="preserve">the IMO is NOT fully responsible </w:t>
      </w:r>
      <w:r w:rsidR="00E361BA" w:rsidRPr="00AB3FA1">
        <w:rPr>
          <w:rFonts w:ascii="Arial Narrow" w:hAnsi="Arial Narrow" w:cs="Arial"/>
        </w:rPr>
        <w:t xml:space="preserve">for this task, which must be informed by WASH contextual </w:t>
      </w:r>
      <w:r w:rsidR="00E361BA" w:rsidRPr="00AB3FA1">
        <w:rPr>
          <w:rFonts w:ascii="Arial Narrow" w:hAnsi="Arial Narrow" w:cs="Arial"/>
          <w:i/>
        </w:rPr>
        <w:t>knowledge</w:t>
      </w:r>
      <w:r w:rsidR="00E361BA" w:rsidRPr="00AB3FA1">
        <w:rPr>
          <w:rFonts w:ascii="Arial Narrow" w:hAnsi="Arial Narrow" w:cs="Arial"/>
        </w:rPr>
        <w:t>.</w:t>
      </w:r>
    </w:p>
    <w:p w:rsidR="005B7DF6" w:rsidRPr="00AB3FA1" w:rsidRDefault="005B7DF6" w:rsidP="00AB3FA1">
      <w:pPr>
        <w:pStyle w:val="ListParagraph"/>
        <w:jc w:val="both"/>
        <w:rPr>
          <w:rFonts w:ascii="Arial Narrow" w:hAnsi="Arial Narrow" w:cs="Arial"/>
        </w:rPr>
      </w:pPr>
      <w:bookmarkStart w:id="3" w:name="_GoBack"/>
      <w:bookmarkEnd w:id="3"/>
    </w:p>
    <w:p w:rsidR="002B62DB" w:rsidRPr="00AB3FA1" w:rsidRDefault="005B7DF6" w:rsidP="00AB3FA1">
      <w:pPr>
        <w:pStyle w:val="ListParagraph"/>
        <w:numPr>
          <w:ilvl w:val="0"/>
          <w:numId w:val="27"/>
        </w:numPr>
        <w:jc w:val="both"/>
        <w:rPr>
          <w:rFonts w:ascii="Arial Narrow" w:hAnsi="Arial Narrow" w:cs="Arial"/>
        </w:rPr>
      </w:pPr>
      <w:r w:rsidRPr="00AB3FA1">
        <w:rPr>
          <w:rFonts w:ascii="Arial Narrow" w:hAnsi="Arial Narrow" w:cs="Arial"/>
        </w:rPr>
        <w:t>Environment and Gender Markers</w:t>
      </w:r>
      <w:r w:rsidR="00B076F3" w:rsidRPr="00AB3FA1">
        <w:rPr>
          <w:rFonts w:ascii="Arial Narrow" w:hAnsi="Arial Narrow" w:cs="Arial"/>
        </w:rPr>
        <w:t xml:space="preserve"> </w:t>
      </w:r>
    </w:p>
    <w:p w:rsidR="005B7DF6" w:rsidRPr="00AB3FA1" w:rsidRDefault="005B7DF6" w:rsidP="00AB3FA1">
      <w:pPr>
        <w:pStyle w:val="ListParagraph"/>
        <w:numPr>
          <w:ilvl w:val="1"/>
          <w:numId w:val="27"/>
        </w:numPr>
        <w:jc w:val="both"/>
        <w:rPr>
          <w:rFonts w:ascii="Arial Narrow" w:hAnsi="Arial Narrow" w:cs="Arial"/>
        </w:rPr>
      </w:pPr>
      <w:r w:rsidRPr="00AB3FA1">
        <w:rPr>
          <w:rFonts w:ascii="Arial Narrow" w:hAnsi="Arial Narrow" w:cs="Arial"/>
        </w:rPr>
        <w:t xml:space="preserve">In most countries one or both of these markers may be used. Resources provide an overview of what they are, and some basic guidance to provide partners to facilitate their consideration during project elaboration. </w:t>
      </w:r>
    </w:p>
    <w:p w:rsidR="005B7DF6" w:rsidRPr="00AB3FA1" w:rsidRDefault="005B7DF6" w:rsidP="00AB3FA1">
      <w:pPr>
        <w:pStyle w:val="ListParagraph"/>
        <w:ind w:left="1440"/>
        <w:jc w:val="both"/>
        <w:rPr>
          <w:rFonts w:ascii="Arial Narrow" w:hAnsi="Arial Narrow" w:cs="Arial"/>
        </w:rPr>
      </w:pPr>
    </w:p>
    <w:p w:rsidR="005B7DF6" w:rsidRPr="00AB3FA1" w:rsidRDefault="005B7DF6" w:rsidP="00AB3FA1">
      <w:pPr>
        <w:pStyle w:val="ListParagraph"/>
        <w:numPr>
          <w:ilvl w:val="0"/>
          <w:numId w:val="27"/>
        </w:numPr>
        <w:jc w:val="both"/>
        <w:rPr>
          <w:rFonts w:ascii="Arial Narrow" w:hAnsi="Arial Narrow" w:cs="Arial"/>
        </w:rPr>
      </w:pPr>
      <w:r w:rsidRPr="00AB3FA1">
        <w:rPr>
          <w:rFonts w:ascii="Arial Narrow" w:hAnsi="Arial Narrow" w:cs="Arial"/>
        </w:rPr>
        <w:t>Example from the field</w:t>
      </w:r>
    </w:p>
    <w:p w:rsidR="005B7DF6" w:rsidRPr="00AB3FA1" w:rsidRDefault="005B7DF6" w:rsidP="00AB3FA1">
      <w:pPr>
        <w:pStyle w:val="ListParagraph"/>
        <w:numPr>
          <w:ilvl w:val="1"/>
          <w:numId w:val="27"/>
        </w:numPr>
        <w:jc w:val="both"/>
        <w:rPr>
          <w:rFonts w:ascii="Arial Narrow" w:hAnsi="Arial Narrow" w:cs="Arial"/>
        </w:rPr>
      </w:pPr>
      <w:r w:rsidRPr="00AB3FA1">
        <w:rPr>
          <w:rFonts w:ascii="Arial Narrow" w:hAnsi="Arial Narrow" w:cs="Arial"/>
        </w:rPr>
        <w:t>One excel providing an overview of the HRP process provided to partners including: project selection criteria; timelines; and WASH framework detailing priority areas and indicative activities</w:t>
      </w:r>
    </w:p>
    <w:p w:rsidR="005B7DF6" w:rsidRPr="00AB3FA1" w:rsidRDefault="005B7DF6" w:rsidP="00AB3FA1">
      <w:pPr>
        <w:pStyle w:val="ListParagraph"/>
        <w:numPr>
          <w:ilvl w:val="1"/>
          <w:numId w:val="27"/>
        </w:numPr>
        <w:jc w:val="both"/>
        <w:rPr>
          <w:rFonts w:ascii="Arial Narrow" w:hAnsi="Arial Narrow" w:cs="Arial"/>
        </w:rPr>
      </w:pPr>
      <w:r w:rsidRPr="00AB3FA1">
        <w:rPr>
          <w:rFonts w:ascii="Arial Narrow" w:hAnsi="Arial Narrow" w:cs="Arial"/>
        </w:rPr>
        <w:t xml:space="preserve">One excel providing an overview of the project validation process by the coordination unit, including: identification of potential duplications or gaps; analysis by funding, coverage, objective and priority. </w:t>
      </w:r>
    </w:p>
    <w:sectPr w:rsidR="005B7DF6" w:rsidRPr="00AB3FA1" w:rsidSect="00EC2C17">
      <w:headerReference w:type="default"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000" w:rsidRDefault="00194000" w:rsidP="00233ADC">
      <w:pPr>
        <w:spacing w:after="0" w:line="240" w:lineRule="auto"/>
      </w:pPr>
      <w:r>
        <w:separator/>
      </w:r>
    </w:p>
  </w:endnote>
  <w:endnote w:type="continuationSeparator" w:id="0">
    <w:p w:rsidR="00194000" w:rsidRDefault="00194000" w:rsidP="0023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1086295950"/>
      <w:docPartObj>
        <w:docPartGallery w:val="Page Numbers (Bottom of Page)"/>
        <w:docPartUnique/>
      </w:docPartObj>
    </w:sdtPr>
    <w:sdtEndPr/>
    <w:sdtContent>
      <w:p w:rsidR="00654339" w:rsidRPr="00A53EE1" w:rsidRDefault="00654339">
        <w:pPr>
          <w:pStyle w:val="Footer"/>
          <w:jc w:val="right"/>
          <w:rPr>
            <w:rFonts w:ascii="Arial" w:hAnsi="Arial" w:cs="Arial"/>
            <w:sz w:val="18"/>
          </w:rPr>
        </w:pPr>
        <w:r w:rsidRPr="00A53EE1">
          <w:rPr>
            <w:rFonts w:ascii="Arial" w:hAnsi="Arial" w:cs="Arial"/>
            <w:sz w:val="18"/>
          </w:rPr>
          <w:t xml:space="preserve">Page | </w:t>
        </w:r>
        <w:r w:rsidRPr="00A53EE1">
          <w:rPr>
            <w:rFonts w:ascii="Arial" w:hAnsi="Arial" w:cs="Arial"/>
            <w:sz w:val="18"/>
          </w:rPr>
          <w:fldChar w:fldCharType="begin"/>
        </w:r>
        <w:r w:rsidRPr="00A53EE1">
          <w:rPr>
            <w:rFonts w:ascii="Arial" w:hAnsi="Arial" w:cs="Arial"/>
            <w:sz w:val="18"/>
          </w:rPr>
          <w:instrText xml:space="preserve"> PAGE   \* MERGEFORMAT </w:instrText>
        </w:r>
        <w:r w:rsidRPr="00A53EE1">
          <w:rPr>
            <w:rFonts w:ascii="Arial" w:hAnsi="Arial" w:cs="Arial"/>
            <w:sz w:val="18"/>
          </w:rPr>
          <w:fldChar w:fldCharType="separate"/>
        </w:r>
        <w:r w:rsidR="005E24B0">
          <w:rPr>
            <w:rFonts w:ascii="Arial" w:hAnsi="Arial" w:cs="Arial"/>
            <w:noProof/>
            <w:sz w:val="18"/>
          </w:rPr>
          <w:t>2</w:t>
        </w:r>
        <w:r w:rsidRPr="00A53EE1">
          <w:rPr>
            <w:rFonts w:ascii="Arial" w:hAnsi="Arial" w:cs="Arial"/>
            <w:noProof/>
            <w:sz w:val="18"/>
          </w:rPr>
          <w:fldChar w:fldCharType="end"/>
        </w:r>
        <w:r w:rsidRPr="00A53EE1">
          <w:rPr>
            <w:rFonts w:ascii="Arial" w:hAnsi="Arial" w:cs="Arial"/>
            <w:sz w:val="18"/>
          </w:rPr>
          <w:t xml:space="preserve"> </w:t>
        </w:r>
      </w:p>
    </w:sdtContent>
  </w:sdt>
  <w:p w:rsidR="00654339" w:rsidRDefault="00654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39" w:rsidRPr="00CF23C3" w:rsidRDefault="00654339" w:rsidP="00F62A36">
    <w:pPr>
      <w:pStyle w:val="Footer"/>
      <w:jc w:val="right"/>
      <w:rPr>
        <w:sz w:val="18"/>
      </w:rPr>
    </w:pPr>
  </w:p>
  <w:p w:rsidR="00654339" w:rsidRDefault="00654339" w:rsidP="00233AD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000" w:rsidRDefault="00194000" w:rsidP="00233ADC">
      <w:pPr>
        <w:spacing w:after="0" w:line="240" w:lineRule="auto"/>
      </w:pPr>
      <w:r>
        <w:separator/>
      </w:r>
    </w:p>
  </w:footnote>
  <w:footnote w:type="continuationSeparator" w:id="0">
    <w:p w:rsidR="00194000" w:rsidRDefault="00194000" w:rsidP="00233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39" w:rsidRDefault="00654339" w:rsidP="009E5611">
    <w:pPr>
      <w:pStyle w:val="Header"/>
      <w:jc w:val="right"/>
      <w:rPr>
        <w:rFonts w:ascii="Arial" w:hAnsi="Arial" w:cs="Arial"/>
        <w:i/>
        <w:color w:val="009999"/>
        <w:sz w:val="18"/>
      </w:rPr>
    </w:pPr>
    <w:r w:rsidRPr="004A44A0">
      <w:rPr>
        <w:rFonts w:ascii="Arial" w:hAnsi="Arial" w:cs="Arial"/>
        <w:i/>
        <w:color w:val="009999"/>
        <w:sz w:val="18"/>
      </w:rPr>
      <w:t>Name of Report – DD/MM/YYYY</w:t>
    </w:r>
  </w:p>
  <w:p w:rsidR="00654339" w:rsidRPr="004A44A0" w:rsidRDefault="00654339" w:rsidP="009E5611">
    <w:pPr>
      <w:pStyle w:val="Header"/>
      <w:jc w:val="right"/>
      <w:rPr>
        <w:rFonts w:ascii="Arial" w:hAnsi="Arial" w:cs="Arial"/>
        <w:i/>
        <w:color w:val="009999"/>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39" w:rsidRDefault="00654339">
    <w:pPr>
      <w:pStyle w:val="Header"/>
    </w:pPr>
    <w:r>
      <w:rPr>
        <w:rFonts w:ascii="Calibri" w:eastAsia="Times New Roman" w:hAnsi="Calibri" w:cs="Times New Roman"/>
        <w:noProof/>
        <w:color w:val="000000"/>
        <w:sz w:val="28"/>
        <w:szCs w:val="28"/>
        <w:lang w:val="en-US"/>
      </w:rPr>
      <w:drawing>
        <wp:anchor distT="0" distB="0" distL="114300" distR="114300" simplePos="0" relativeHeight="251658240" behindDoc="0" locked="0" layoutInCell="1" allowOverlap="1">
          <wp:simplePos x="0" y="0"/>
          <wp:positionH relativeFrom="column">
            <wp:posOffset>-138022</wp:posOffset>
          </wp:positionH>
          <wp:positionV relativeFrom="paragraph">
            <wp:posOffset>-277687</wp:posOffset>
          </wp:positionV>
          <wp:extent cx="2277374" cy="75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2890" cy="76415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344E"/>
    <w:multiLevelType w:val="multilevel"/>
    <w:tmpl w:val="0226E45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99210D"/>
    <w:multiLevelType w:val="hybridMultilevel"/>
    <w:tmpl w:val="055E54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517DE"/>
    <w:multiLevelType w:val="hybridMultilevel"/>
    <w:tmpl w:val="9C2A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21D3C"/>
    <w:multiLevelType w:val="hybridMultilevel"/>
    <w:tmpl w:val="3A228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776B6"/>
    <w:multiLevelType w:val="hybridMultilevel"/>
    <w:tmpl w:val="0018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C04B1"/>
    <w:multiLevelType w:val="hybridMultilevel"/>
    <w:tmpl w:val="5D4ED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10F1A"/>
    <w:multiLevelType w:val="hybridMultilevel"/>
    <w:tmpl w:val="31F4E57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F9A7243"/>
    <w:multiLevelType w:val="multilevel"/>
    <w:tmpl w:val="48E61B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2813F5D"/>
    <w:multiLevelType w:val="multilevel"/>
    <w:tmpl w:val="48E61B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2DC5624"/>
    <w:multiLevelType w:val="multilevel"/>
    <w:tmpl w:val="FC5AD0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49229A"/>
    <w:multiLevelType w:val="multilevel"/>
    <w:tmpl w:val="3C4A69A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CF4322"/>
    <w:multiLevelType w:val="multilevel"/>
    <w:tmpl w:val="0C94CFC4"/>
    <w:lvl w:ilvl="0">
      <w:start w:val="1"/>
      <w:numFmt w:val="decimal"/>
      <w:pStyle w:val="SubheadingWASH"/>
      <w:lvlText w:val="%1.1"/>
      <w:lvlJc w:val="left"/>
      <w:pPr>
        <w:ind w:left="1080" w:hanging="360"/>
      </w:pPr>
      <w:rPr>
        <w:rFonts w:hint="default"/>
      </w:rPr>
    </w:lvl>
    <w:lvl w:ilvl="1">
      <w:start w:val="1"/>
      <w:numFmt w:val="decimal"/>
      <w:lvlText w:val="%1.%2"/>
      <w:lvlJc w:val="left"/>
      <w:pPr>
        <w:ind w:left="2160" w:hanging="720"/>
      </w:pPr>
      <w:rPr>
        <w:rFonts w:hint="default"/>
      </w:rPr>
    </w:lvl>
    <w:lvl w:ilvl="2">
      <w:start w:val="1"/>
      <w:numFmt w:val="decimal"/>
      <w:pStyle w:val="CategoryheadingWASH"/>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2" w15:restartNumberingAfterBreak="0">
    <w:nsid w:val="382B0394"/>
    <w:multiLevelType w:val="hybridMultilevel"/>
    <w:tmpl w:val="D2CC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20FB9"/>
    <w:multiLevelType w:val="hybridMultilevel"/>
    <w:tmpl w:val="E06E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155C9"/>
    <w:multiLevelType w:val="hybridMultilevel"/>
    <w:tmpl w:val="A312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85EF8"/>
    <w:multiLevelType w:val="hybridMultilevel"/>
    <w:tmpl w:val="3E14D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939B4"/>
    <w:multiLevelType w:val="hybridMultilevel"/>
    <w:tmpl w:val="C258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1E1D"/>
    <w:multiLevelType w:val="multilevel"/>
    <w:tmpl w:val="9E9E9A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DDF3B22"/>
    <w:multiLevelType w:val="multilevel"/>
    <w:tmpl w:val="C010D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891E7B"/>
    <w:multiLevelType w:val="multilevel"/>
    <w:tmpl w:val="3030226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1DA5D04"/>
    <w:multiLevelType w:val="multilevel"/>
    <w:tmpl w:val="074673E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5600838"/>
    <w:multiLevelType w:val="multilevel"/>
    <w:tmpl w:val="712E693E"/>
    <w:lvl w:ilvl="0">
      <w:start w:val="1"/>
      <w:numFmt w:val="decimal"/>
      <w:pStyle w:val="heading1wash"/>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8D368E8"/>
    <w:multiLevelType w:val="hybridMultilevel"/>
    <w:tmpl w:val="055E54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D2795"/>
    <w:multiLevelType w:val="hybridMultilevel"/>
    <w:tmpl w:val="5FD6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D6C28"/>
    <w:multiLevelType w:val="multilevel"/>
    <w:tmpl w:val="C010D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BC17CF7"/>
    <w:multiLevelType w:val="hybridMultilevel"/>
    <w:tmpl w:val="B858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3F133F"/>
    <w:multiLevelType w:val="multilevel"/>
    <w:tmpl w:val="0226E45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7F9F3DC0"/>
    <w:multiLevelType w:val="multilevel"/>
    <w:tmpl w:val="C010D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CD3137"/>
    <w:multiLevelType w:val="multilevel"/>
    <w:tmpl w:val="185CD7BC"/>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3"/>
  </w:num>
  <w:num w:numId="3">
    <w:abstractNumId w:val="17"/>
  </w:num>
  <w:num w:numId="4">
    <w:abstractNumId w:val="22"/>
  </w:num>
  <w:num w:numId="5">
    <w:abstractNumId w:val="2"/>
  </w:num>
  <w:num w:numId="6">
    <w:abstractNumId w:val="3"/>
  </w:num>
  <w:num w:numId="7">
    <w:abstractNumId w:val="8"/>
  </w:num>
  <w:num w:numId="8">
    <w:abstractNumId w:val="7"/>
  </w:num>
  <w:num w:numId="9">
    <w:abstractNumId w:val="27"/>
  </w:num>
  <w:num w:numId="10">
    <w:abstractNumId w:val="6"/>
  </w:num>
  <w:num w:numId="11">
    <w:abstractNumId w:val="1"/>
  </w:num>
  <w:num w:numId="12">
    <w:abstractNumId w:val="28"/>
  </w:num>
  <w:num w:numId="13">
    <w:abstractNumId w:val="10"/>
  </w:num>
  <w:num w:numId="14">
    <w:abstractNumId w:val="9"/>
  </w:num>
  <w:num w:numId="15">
    <w:abstractNumId w:val="18"/>
  </w:num>
  <w:num w:numId="16">
    <w:abstractNumId w:val="26"/>
  </w:num>
  <w:num w:numId="17">
    <w:abstractNumId w:val="19"/>
  </w:num>
  <w:num w:numId="18">
    <w:abstractNumId w:val="25"/>
  </w:num>
  <w:num w:numId="19">
    <w:abstractNumId w:val="24"/>
  </w:num>
  <w:num w:numId="20">
    <w:abstractNumId w:val="20"/>
  </w:num>
  <w:num w:numId="21">
    <w:abstractNumId w:val="0"/>
  </w:num>
  <w:num w:numId="22">
    <w:abstractNumId w:val="11"/>
  </w:num>
  <w:num w:numId="23">
    <w:abstractNumId w:val="12"/>
  </w:num>
  <w:num w:numId="24">
    <w:abstractNumId w:val="16"/>
  </w:num>
  <w:num w:numId="25">
    <w:abstractNumId w:val="15"/>
  </w:num>
  <w:num w:numId="26">
    <w:abstractNumId w:val="23"/>
  </w:num>
  <w:num w:numId="27">
    <w:abstractNumId w:val="5"/>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DC"/>
    <w:rsid w:val="000021BD"/>
    <w:rsid w:val="00004987"/>
    <w:rsid w:val="00015D66"/>
    <w:rsid w:val="00020948"/>
    <w:rsid w:val="000218C5"/>
    <w:rsid w:val="00024EAF"/>
    <w:rsid w:val="00035CDA"/>
    <w:rsid w:val="000423A1"/>
    <w:rsid w:val="00061DBF"/>
    <w:rsid w:val="000664CA"/>
    <w:rsid w:val="00077DEB"/>
    <w:rsid w:val="00084377"/>
    <w:rsid w:val="000908B7"/>
    <w:rsid w:val="00095DB7"/>
    <w:rsid w:val="000A1AF2"/>
    <w:rsid w:val="000C3D08"/>
    <w:rsid w:val="000C6AAA"/>
    <w:rsid w:val="000C6F14"/>
    <w:rsid w:val="000D1B18"/>
    <w:rsid w:val="000D63FA"/>
    <w:rsid w:val="000F3873"/>
    <w:rsid w:val="00107D10"/>
    <w:rsid w:val="00114EBA"/>
    <w:rsid w:val="0012406E"/>
    <w:rsid w:val="00124FBE"/>
    <w:rsid w:val="00126C36"/>
    <w:rsid w:val="00134E8B"/>
    <w:rsid w:val="00134FDC"/>
    <w:rsid w:val="001452CE"/>
    <w:rsid w:val="00147B87"/>
    <w:rsid w:val="00165E76"/>
    <w:rsid w:val="001808DD"/>
    <w:rsid w:val="0018267D"/>
    <w:rsid w:val="00194000"/>
    <w:rsid w:val="001B267F"/>
    <w:rsid w:val="001D5310"/>
    <w:rsid w:val="001F04E8"/>
    <w:rsid w:val="001F16B7"/>
    <w:rsid w:val="001F3BC2"/>
    <w:rsid w:val="00214E31"/>
    <w:rsid w:val="002153B7"/>
    <w:rsid w:val="0021608D"/>
    <w:rsid w:val="002254EB"/>
    <w:rsid w:val="00226592"/>
    <w:rsid w:val="00226720"/>
    <w:rsid w:val="00227FA2"/>
    <w:rsid w:val="00233ADC"/>
    <w:rsid w:val="00237B1C"/>
    <w:rsid w:val="00243E8F"/>
    <w:rsid w:val="00245FFA"/>
    <w:rsid w:val="00246108"/>
    <w:rsid w:val="0025476F"/>
    <w:rsid w:val="0025690F"/>
    <w:rsid w:val="0026364E"/>
    <w:rsid w:val="00283644"/>
    <w:rsid w:val="00284B0D"/>
    <w:rsid w:val="00286B72"/>
    <w:rsid w:val="00295533"/>
    <w:rsid w:val="002977D6"/>
    <w:rsid w:val="002B62DB"/>
    <w:rsid w:val="002D2E22"/>
    <w:rsid w:val="002E5718"/>
    <w:rsid w:val="002F1651"/>
    <w:rsid w:val="00322C63"/>
    <w:rsid w:val="00326504"/>
    <w:rsid w:val="00327266"/>
    <w:rsid w:val="00347330"/>
    <w:rsid w:val="00356D3B"/>
    <w:rsid w:val="00357068"/>
    <w:rsid w:val="00362B55"/>
    <w:rsid w:val="003647A6"/>
    <w:rsid w:val="0036695D"/>
    <w:rsid w:val="0037084E"/>
    <w:rsid w:val="003940E2"/>
    <w:rsid w:val="00396C2E"/>
    <w:rsid w:val="003A13E0"/>
    <w:rsid w:val="003A72DF"/>
    <w:rsid w:val="003C14CC"/>
    <w:rsid w:val="003C4035"/>
    <w:rsid w:val="003C4504"/>
    <w:rsid w:val="003D4FAF"/>
    <w:rsid w:val="003E298A"/>
    <w:rsid w:val="003E2AF4"/>
    <w:rsid w:val="003F4C33"/>
    <w:rsid w:val="003F6B91"/>
    <w:rsid w:val="004007E9"/>
    <w:rsid w:val="00405D56"/>
    <w:rsid w:val="0043787A"/>
    <w:rsid w:val="00437CF8"/>
    <w:rsid w:val="00441613"/>
    <w:rsid w:val="004540CA"/>
    <w:rsid w:val="00463A95"/>
    <w:rsid w:val="00470071"/>
    <w:rsid w:val="0047256F"/>
    <w:rsid w:val="00472B28"/>
    <w:rsid w:val="004765DD"/>
    <w:rsid w:val="00490696"/>
    <w:rsid w:val="004A1DC7"/>
    <w:rsid w:val="004A391F"/>
    <w:rsid w:val="004A44A0"/>
    <w:rsid w:val="004A616E"/>
    <w:rsid w:val="004C1999"/>
    <w:rsid w:val="004C2A4A"/>
    <w:rsid w:val="004D0493"/>
    <w:rsid w:val="004D0EA2"/>
    <w:rsid w:val="004D1029"/>
    <w:rsid w:val="004D2DC6"/>
    <w:rsid w:val="004D77B6"/>
    <w:rsid w:val="004F652B"/>
    <w:rsid w:val="004F6801"/>
    <w:rsid w:val="0050337E"/>
    <w:rsid w:val="005177E0"/>
    <w:rsid w:val="00532564"/>
    <w:rsid w:val="005404C1"/>
    <w:rsid w:val="00551E53"/>
    <w:rsid w:val="005915F9"/>
    <w:rsid w:val="00591B08"/>
    <w:rsid w:val="005938D7"/>
    <w:rsid w:val="00597BD2"/>
    <w:rsid w:val="005A03E6"/>
    <w:rsid w:val="005B4B2A"/>
    <w:rsid w:val="005B7DF6"/>
    <w:rsid w:val="005C1CC1"/>
    <w:rsid w:val="005C7FAF"/>
    <w:rsid w:val="005D41DD"/>
    <w:rsid w:val="005E24B0"/>
    <w:rsid w:val="005E2B76"/>
    <w:rsid w:val="00602B81"/>
    <w:rsid w:val="00614937"/>
    <w:rsid w:val="00621B45"/>
    <w:rsid w:val="00627BA7"/>
    <w:rsid w:val="00645971"/>
    <w:rsid w:val="006477A2"/>
    <w:rsid w:val="00654339"/>
    <w:rsid w:val="00665000"/>
    <w:rsid w:val="00687655"/>
    <w:rsid w:val="00694388"/>
    <w:rsid w:val="0069654C"/>
    <w:rsid w:val="006A7F75"/>
    <w:rsid w:val="006B0E1B"/>
    <w:rsid w:val="006B268C"/>
    <w:rsid w:val="006C2FF5"/>
    <w:rsid w:val="006C33A1"/>
    <w:rsid w:val="006D0D4E"/>
    <w:rsid w:val="006D64F4"/>
    <w:rsid w:val="006E292C"/>
    <w:rsid w:val="006F2301"/>
    <w:rsid w:val="006F2E05"/>
    <w:rsid w:val="006F3788"/>
    <w:rsid w:val="007018D8"/>
    <w:rsid w:val="007154F2"/>
    <w:rsid w:val="007155F5"/>
    <w:rsid w:val="0072702E"/>
    <w:rsid w:val="00737DB6"/>
    <w:rsid w:val="007466A4"/>
    <w:rsid w:val="00753B17"/>
    <w:rsid w:val="007604AC"/>
    <w:rsid w:val="00771615"/>
    <w:rsid w:val="00775E42"/>
    <w:rsid w:val="00790B0D"/>
    <w:rsid w:val="00792516"/>
    <w:rsid w:val="00793FC7"/>
    <w:rsid w:val="007A3110"/>
    <w:rsid w:val="007B03D3"/>
    <w:rsid w:val="007B1C77"/>
    <w:rsid w:val="007B5809"/>
    <w:rsid w:val="007E3A50"/>
    <w:rsid w:val="007F0EBC"/>
    <w:rsid w:val="007F5BE7"/>
    <w:rsid w:val="007F5D88"/>
    <w:rsid w:val="007F65E6"/>
    <w:rsid w:val="007F76A5"/>
    <w:rsid w:val="008053BC"/>
    <w:rsid w:val="00805E44"/>
    <w:rsid w:val="00816375"/>
    <w:rsid w:val="008237BC"/>
    <w:rsid w:val="0082712D"/>
    <w:rsid w:val="00850911"/>
    <w:rsid w:val="00856FF9"/>
    <w:rsid w:val="00861D3E"/>
    <w:rsid w:val="00862FCE"/>
    <w:rsid w:val="00872EE6"/>
    <w:rsid w:val="00882DAF"/>
    <w:rsid w:val="00885145"/>
    <w:rsid w:val="008A0122"/>
    <w:rsid w:val="008A083C"/>
    <w:rsid w:val="008A2A7C"/>
    <w:rsid w:val="008A76EE"/>
    <w:rsid w:val="008B48B0"/>
    <w:rsid w:val="008C331C"/>
    <w:rsid w:val="008C71AD"/>
    <w:rsid w:val="008E2AF8"/>
    <w:rsid w:val="00907E6F"/>
    <w:rsid w:val="00916C15"/>
    <w:rsid w:val="00931E62"/>
    <w:rsid w:val="009407C2"/>
    <w:rsid w:val="009469DF"/>
    <w:rsid w:val="00947203"/>
    <w:rsid w:val="00947EC6"/>
    <w:rsid w:val="009607DF"/>
    <w:rsid w:val="009660AF"/>
    <w:rsid w:val="00971915"/>
    <w:rsid w:val="0098431A"/>
    <w:rsid w:val="009856B6"/>
    <w:rsid w:val="009C01BE"/>
    <w:rsid w:val="009C6FF6"/>
    <w:rsid w:val="009E0D4D"/>
    <w:rsid w:val="009E5611"/>
    <w:rsid w:val="00A03536"/>
    <w:rsid w:val="00A16DBA"/>
    <w:rsid w:val="00A210A5"/>
    <w:rsid w:val="00A25D38"/>
    <w:rsid w:val="00A424FA"/>
    <w:rsid w:val="00A533EA"/>
    <w:rsid w:val="00A53EE1"/>
    <w:rsid w:val="00A6409D"/>
    <w:rsid w:val="00A71B2B"/>
    <w:rsid w:val="00A72A72"/>
    <w:rsid w:val="00A8003A"/>
    <w:rsid w:val="00AB0C27"/>
    <w:rsid w:val="00AB3FA1"/>
    <w:rsid w:val="00AC3A83"/>
    <w:rsid w:val="00AC568F"/>
    <w:rsid w:val="00AC7BF1"/>
    <w:rsid w:val="00AE0B9D"/>
    <w:rsid w:val="00AF2EE7"/>
    <w:rsid w:val="00B01631"/>
    <w:rsid w:val="00B03BCE"/>
    <w:rsid w:val="00B05362"/>
    <w:rsid w:val="00B076F3"/>
    <w:rsid w:val="00B11BB9"/>
    <w:rsid w:val="00B23CDB"/>
    <w:rsid w:val="00B27D82"/>
    <w:rsid w:val="00B46CF0"/>
    <w:rsid w:val="00B61382"/>
    <w:rsid w:val="00B67B78"/>
    <w:rsid w:val="00B7213F"/>
    <w:rsid w:val="00B834C8"/>
    <w:rsid w:val="00B93BB6"/>
    <w:rsid w:val="00BA1909"/>
    <w:rsid w:val="00BA2340"/>
    <w:rsid w:val="00BB12DC"/>
    <w:rsid w:val="00BC3486"/>
    <w:rsid w:val="00BC4BBB"/>
    <w:rsid w:val="00BE74B4"/>
    <w:rsid w:val="00C00E1D"/>
    <w:rsid w:val="00C11929"/>
    <w:rsid w:val="00C16AF4"/>
    <w:rsid w:val="00C25096"/>
    <w:rsid w:val="00C631A9"/>
    <w:rsid w:val="00C63E59"/>
    <w:rsid w:val="00C65509"/>
    <w:rsid w:val="00C93AA1"/>
    <w:rsid w:val="00CB7B3E"/>
    <w:rsid w:val="00CC4FF5"/>
    <w:rsid w:val="00CE0B8C"/>
    <w:rsid w:val="00CE5015"/>
    <w:rsid w:val="00CF2092"/>
    <w:rsid w:val="00CF23C3"/>
    <w:rsid w:val="00CF49B4"/>
    <w:rsid w:val="00CF5A5C"/>
    <w:rsid w:val="00D011DF"/>
    <w:rsid w:val="00D22969"/>
    <w:rsid w:val="00D22D2B"/>
    <w:rsid w:val="00D23CA6"/>
    <w:rsid w:val="00D333A3"/>
    <w:rsid w:val="00D40B1E"/>
    <w:rsid w:val="00D43B66"/>
    <w:rsid w:val="00D43E69"/>
    <w:rsid w:val="00D670B0"/>
    <w:rsid w:val="00D676D1"/>
    <w:rsid w:val="00D74C6A"/>
    <w:rsid w:val="00D74E0C"/>
    <w:rsid w:val="00D91D37"/>
    <w:rsid w:val="00DB785D"/>
    <w:rsid w:val="00DF5536"/>
    <w:rsid w:val="00DF6672"/>
    <w:rsid w:val="00E00A0C"/>
    <w:rsid w:val="00E24467"/>
    <w:rsid w:val="00E361BA"/>
    <w:rsid w:val="00E44A29"/>
    <w:rsid w:val="00E47055"/>
    <w:rsid w:val="00E56DED"/>
    <w:rsid w:val="00E65FA8"/>
    <w:rsid w:val="00E679C6"/>
    <w:rsid w:val="00E721EE"/>
    <w:rsid w:val="00E736C0"/>
    <w:rsid w:val="00EA1EBF"/>
    <w:rsid w:val="00EB06E3"/>
    <w:rsid w:val="00EB2872"/>
    <w:rsid w:val="00EC2C17"/>
    <w:rsid w:val="00EC5C88"/>
    <w:rsid w:val="00EC7AED"/>
    <w:rsid w:val="00EC7C6F"/>
    <w:rsid w:val="00ED3550"/>
    <w:rsid w:val="00EF40D8"/>
    <w:rsid w:val="00EF5CF1"/>
    <w:rsid w:val="00EF6113"/>
    <w:rsid w:val="00F01D02"/>
    <w:rsid w:val="00F14D74"/>
    <w:rsid w:val="00F213AA"/>
    <w:rsid w:val="00F43AFA"/>
    <w:rsid w:val="00F536CB"/>
    <w:rsid w:val="00F62A36"/>
    <w:rsid w:val="00F62D40"/>
    <w:rsid w:val="00F66145"/>
    <w:rsid w:val="00FA019E"/>
    <w:rsid w:val="00FA1295"/>
    <w:rsid w:val="00FA30B9"/>
    <w:rsid w:val="00FB0287"/>
    <w:rsid w:val="00FB4776"/>
    <w:rsid w:val="00FC2248"/>
    <w:rsid w:val="00FC325F"/>
    <w:rsid w:val="00FC3FD5"/>
    <w:rsid w:val="00FD0466"/>
    <w:rsid w:val="00FF76FF"/>
    <w:rsid w:val="00FF7B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608640-CE94-4486-BFD8-E4579760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19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19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13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3A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33ADC"/>
    <w:rPr>
      <w:rFonts w:eastAsiaTheme="minorEastAsia"/>
      <w:lang w:val="en-US" w:eastAsia="ja-JP"/>
    </w:rPr>
  </w:style>
  <w:style w:type="paragraph" w:styleId="Header">
    <w:name w:val="header"/>
    <w:basedOn w:val="Normal"/>
    <w:link w:val="HeaderChar"/>
    <w:uiPriority w:val="99"/>
    <w:unhideWhenUsed/>
    <w:rsid w:val="00233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DC"/>
  </w:style>
  <w:style w:type="paragraph" w:styleId="Footer">
    <w:name w:val="footer"/>
    <w:basedOn w:val="Normal"/>
    <w:link w:val="FooterChar"/>
    <w:uiPriority w:val="99"/>
    <w:unhideWhenUsed/>
    <w:rsid w:val="00233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DC"/>
  </w:style>
  <w:style w:type="table" w:styleId="TableGrid">
    <w:name w:val="Table Grid"/>
    <w:basedOn w:val="TableNormal"/>
    <w:uiPriority w:val="1"/>
    <w:rsid w:val="00233ADC"/>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1F3BC2"/>
    <w:rPr>
      <w:b/>
      <w:bCs/>
    </w:rPr>
  </w:style>
  <w:style w:type="paragraph" w:styleId="Title">
    <w:name w:val="Title"/>
    <w:basedOn w:val="Normal"/>
    <w:next w:val="Normal"/>
    <w:link w:val="TitleChar"/>
    <w:uiPriority w:val="10"/>
    <w:qFormat/>
    <w:rsid w:val="001F3B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BC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F3BC2"/>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1F3BC2"/>
    <w:rPr>
      <w:b/>
      <w:bCs/>
      <w:i/>
      <w:iCs/>
      <w:color w:val="4F81BD" w:themeColor="accent1"/>
    </w:rPr>
  </w:style>
  <w:style w:type="character" w:customStyle="1" w:styleId="Heading2Char">
    <w:name w:val="Heading 2 Char"/>
    <w:basedOn w:val="DefaultParagraphFont"/>
    <w:link w:val="Heading2"/>
    <w:uiPriority w:val="9"/>
    <w:rsid w:val="00BA19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A1909"/>
    <w:pPr>
      <w:ind w:left="720"/>
      <w:contextualSpacing/>
    </w:pPr>
  </w:style>
  <w:style w:type="character" w:customStyle="1" w:styleId="Heading3Char">
    <w:name w:val="Heading 3 Char"/>
    <w:basedOn w:val="DefaultParagraphFont"/>
    <w:link w:val="Heading3"/>
    <w:uiPriority w:val="9"/>
    <w:rsid w:val="00BA1909"/>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6F2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301"/>
    <w:rPr>
      <w:sz w:val="20"/>
      <w:szCs w:val="20"/>
    </w:rPr>
  </w:style>
  <w:style w:type="character" w:styleId="FootnoteReference">
    <w:name w:val="footnote reference"/>
    <w:basedOn w:val="DefaultParagraphFont"/>
    <w:uiPriority w:val="99"/>
    <w:semiHidden/>
    <w:unhideWhenUsed/>
    <w:rsid w:val="006F2301"/>
    <w:rPr>
      <w:vertAlign w:val="superscript"/>
    </w:rPr>
  </w:style>
  <w:style w:type="character" w:customStyle="1" w:styleId="Heading4Char">
    <w:name w:val="Heading 4 Char"/>
    <w:basedOn w:val="DefaultParagraphFont"/>
    <w:link w:val="Heading4"/>
    <w:uiPriority w:val="9"/>
    <w:rsid w:val="00B61382"/>
    <w:rPr>
      <w:rFonts w:asciiTheme="majorHAnsi" w:eastAsiaTheme="majorEastAsia" w:hAnsiTheme="majorHAnsi" w:cstheme="majorBidi"/>
      <w:b/>
      <w:bCs/>
      <w:i/>
      <w:iCs/>
      <w:color w:val="4F81BD" w:themeColor="accent1"/>
    </w:rPr>
  </w:style>
  <w:style w:type="table" w:styleId="LightList-Accent5">
    <w:name w:val="Light List Accent 5"/>
    <w:basedOn w:val="TableNormal"/>
    <w:uiPriority w:val="61"/>
    <w:rsid w:val="005177E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5D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1DD"/>
    <w:rPr>
      <w:rFonts w:ascii="Tahoma" w:hAnsi="Tahoma" w:cs="Tahoma"/>
      <w:sz w:val="16"/>
      <w:szCs w:val="16"/>
    </w:rPr>
  </w:style>
  <w:style w:type="paragraph" w:styleId="TOCHeading">
    <w:name w:val="TOC Heading"/>
    <w:basedOn w:val="Heading1"/>
    <w:next w:val="Normal"/>
    <w:uiPriority w:val="39"/>
    <w:semiHidden/>
    <w:unhideWhenUsed/>
    <w:qFormat/>
    <w:rsid w:val="00226720"/>
    <w:pPr>
      <w:outlineLvl w:val="9"/>
    </w:pPr>
    <w:rPr>
      <w:lang w:val="en-US" w:eastAsia="ja-JP"/>
    </w:rPr>
  </w:style>
  <w:style w:type="paragraph" w:styleId="TOC2">
    <w:name w:val="toc 2"/>
    <w:basedOn w:val="Normal"/>
    <w:next w:val="Normal"/>
    <w:autoRedefine/>
    <w:uiPriority w:val="39"/>
    <w:unhideWhenUsed/>
    <w:qFormat/>
    <w:rsid w:val="00226720"/>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226720"/>
    <w:pPr>
      <w:spacing w:after="100"/>
    </w:pPr>
    <w:rPr>
      <w:rFonts w:eastAsiaTheme="minorEastAsia"/>
      <w:lang w:val="en-US" w:eastAsia="ja-JP"/>
    </w:rPr>
  </w:style>
  <w:style w:type="paragraph" w:styleId="TOC3">
    <w:name w:val="toc 3"/>
    <w:basedOn w:val="Normal"/>
    <w:next w:val="Normal"/>
    <w:autoRedefine/>
    <w:uiPriority w:val="39"/>
    <w:unhideWhenUsed/>
    <w:qFormat/>
    <w:rsid w:val="00226720"/>
    <w:pPr>
      <w:spacing w:after="100"/>
      <w:ind w:left="440"/>
    </w:pPr>
    <w:rPr>
      <w:rFonts w:eastAsiaTheme="minorEastAsia"/>
      <w:lang w:val="en-US" w:eastAsia="ja-JP"/>
    </w:rPr>
  </w:style>
  <w:style w:type="character" w:styleId="Hyperlink">
    <w:name w:val="Hyperlink"/>
    <w:basedOn w:val="DefaultParagraphFont"/>
    <w:uiPriority w:val="99"/>
    <w:unhideWhenUsed/>
    <w:rsid w:val="00226720"/>
    <w:rPr>
      <w:color w:val="0000FF" w:themeColor="hyperlink"/>
      <w:u w:val="single"/>
    </w:rPr>
  </w:style>
  <w:style w:type="table" w:styleId="LightList-Accent2">
    <w:name w:val="Light List Accent 2"/>
    <w:basedOn w:val="TableNormal"/>
    <w:uiPriority w:val="61"/>
    <w:rsid w:val="006C33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Subtitle">
    <w:name w:val="Subtitle"/>
    <w:basedOn w:val="Normal"/>
    <w:next w:val="Normal"/>
    <w:link w:val="SubtitleChar"/>
    <w:uiPriority w:val="11"/>
    <w:qFormat/>
    <w:rsid w:val="000A1A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1AF2"/>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5690F"/>
    <w:rPr>
      <w:i/>
      <w:iCs/>
    </w:rPr>
  </w:style>
  <w:style w:type="paragraph" w:customStyle="1" w:styleId="heading1wash">
    <w:name w:val="heading 1 wash"/>
    <w:basedOn w:val="Heading1"/>
    <w:link w:val="heading1washChar"/>
    <w:qFormat/>
    <w:rsid w:val="00BB12DC"/>
    <w:pPr>
      <w:numPr>
        <w:numId w:val="1"/>
      </w:numPr>
    </w:pPr>
    <w:rPr>
      <w:rFonts w:ascii="Arial" w:hAnsi="Arial" w:cs="Arial"/>
      <w:color w:val="006666"/>
    </w:rPr>
  </w:style>
  <w:style w:type="paragraph" w:customStyle="1" w:styleId="SubheadingWASH">
    <w:name w:val="Subheading WASH"/>
    <w:basedOn w:val="Heading2"/>
    <w:link w:val="SubheadingWASHChar"/>
    <w:qFormat/>
    <w:rsid w:val="00BB12DC"/>
    <w:pPr>
      <w:numPr>
        <w:numId w:val="22"/>
      </w:numPr>
    </w:pPr>
    <w:rPr>
      <w:rFonts w:ascii="Arial" w:hAnsi="Arial" w:cs="Arial"/>
      <w:color w:val="009999"/>
    </w:rPr>
  </w:style>
  <w:style w:type="character" w:customStyle="1" w:styleId="heading1washChar">
    <w:name w:val="heading 1 wash Char"/>
    <w:basedOn w:val="Heading1Char"/>
    <w:link w:val="heading1wash"/>
    <w:rsid w:val="00BB12DC"/>
    <w:rPr>
      <w:rFonts w:ascii="Arial" w:eastAsiaTheme="majorEastAsia" w:hAnsi="Arial" w:cs="Arial"/>
      <w:b/>
      <w:bCs/>
      <w:color w:val="006666"/>
      <w:sz w:val="28"/>
      <w:szCs w:val="28"/>
    </w:rPr>
  </w:style>
  <w:style w:type="paragraph" w:customStyle="1" w:styleId="CategoryheadingWASH">
    <w:name w:val="Category heading WASH"/>
    <w:basedOn w:val="Heading3"/>
    <w:link w:val="CategoryheadingWASHChar"/>
    <w:qFormat/>
    <w:rsid w:val="00BB12DC"/>
    <w:pPr>
      <w:numPr>
        <w:ilvl w:val="2"/>
        <w:numId w:val="22"/>
      </w:numPr>
      <w:ind w:left="0" w:firstLine="0"/>
    </w:pPr>
    <w:rPr>
      <w:rFonts w:ascii="Arial" w:hAnsi="Arial" w:cs="Arial"/>
      <w:color w:val="333333"/>
    </w:rPr>
  </w:style>
  <w:style w:type="character" w:customStyle="1" w:styleId="SubheadingWASHChar">
    <w:name w:val="Subheading WASH Char"/>
    <w:basedOn w:val="Heading2Char"/>
    <w:link w:val="SubheadingWASH"/>
    <w:rsid w:val="00BB12DC"/>
    <w:rPr>
      <w:rFonts w:ascii="Arial" w:eastAsiaTheme="majorEastAsia" w:hAnsi="Arial" w:cs="Arial"/>
      <w:b/>
      <w:bCs/>
      <w:color w:val="009999"/>
      <w:sz w:val="26"/>
      <w:szCs w:val="26"/>
    </w:rPr>
  </w:style>
  <w:style w:type="character" w:customStyle="1" w:styleId="CategoryheadingWASHChar">
    <w:name w:val="Category heading WASH Char"/>
    <w:basedOn w:val="Heading3Char"/>
    <w:link w:val="CategoryheadingWASH"/>
    <w:rsid w:val="00BB12DC"/>
    <w:rPr>
      <w:rFonts w:ascii="Arial" w:eastAsiaTheme="majorEastAsia" w:hAnsi="Arial" w:cs="Arial"/>
      <w:b/>
      <w:bCs/>
      <w:color w:val="333333"/>
    </w:rPr>
  </w:style>
  <w:style w:type="character" w:styleId="IntenseReference">
    <w:name w:val="Intense Reference"/>
    <w:basedOn w:val="DefaultParagraphFont"/>
    <w:uiPriority w:val="32"/>
    <w:qFormat/>
    <w:rsid w:val="00061DBF"/>
    <w:rPr>
      <w:b/>
      <w:bCs/>
      <w:smallCaps/>
      <w:color w:val="C0504D" w:themeColor="accent2"/>
      <w:spacing w:val="5"/>
      <w:u w:val="single"/>
    </w:rPr>
  </w:style>
  <w:style w:type="paragraph" w:customStyle="1" w:styleId="Default">
    <w:name w:val="Default"/>
    <w:rsid w:val="000664CA"/>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05182">
      <w:bodyDiv w:val="1"/>
      <w:marLeft w:val="0"/>
      <w:marRight w:val="0"/>
      <w:marTop w:val="0"/>
      <w:marBottom w:val="0"/>
      <w:divBdr>
        <w:top w:val="none" w:sz="0" w:space="0" w:color="auto"/>
        <w:left w:val="none" w:sz="0" w:space="0" w:color="auto"/>
        <w:bottom w:val="none" w:sz="0" w:space="0" w:color="auto"/>
        <w:right w:val="none" w:sz="0" w:space="0" w:color="auto"/>
      </w:divBdr>
    </w:div>
    <w:div w:id="301542623">
      <w:bodyDiv w:val="1"/>
      <w:marLeft w:val="0"/>
      <w:marRight w:val="0"/>
      <w:marTop w:val="0"/>
      <w:marBottom w:val="0"/>
      <w:divBdr>
        <w:top w:val="none" w:sz="0" w:space="0" w:color="auto"/>
        <w:left w:val="none" w:sz="0" w:space="0" w:color="auto"/>
        <w:bottom w:val="none" w:sz="0" w:space="0" w:color="auto"/>
        <w:right w:val="none" w:sz="0" w:space="0" w:color="auto"/>
      </w:divBdr>
    </w:div>
    <w:div w:id="964510054">
      <w:bodyDiv w:val="1"/>
      <w:marLeft w:val="0"/>
      <w:marRight w:val="0"/>
      <w:marTop w:val="0"/>
      <w:marBottom w:val="0"/>
      <w:divBdr>
        <w:top w:val="none" w:sz="0" w:space="0" w:color="auto"/>
        <w:left w:val="none" w:sz="0" w:space="0" w:color="auto"/>
        <w:bottom w:val="none" w:sz="0" w:space="0" w:color="auto"/>
        <w:right w:val="none" w:sz="0" w:space="0" w:color="auto"/>
      </w:divBdr>
    </w:div>
    <w:div w:id="974287393">
      <w:bodyDiv w:val="1"/>
      <w:marLeft w:val="0"/>
      <w:marRight w:val="0"/>
      <w:marTop w:val="0"/>
      <w:marBottom w:val="0"/>
      <w:divBdr>
        <w:top w:val="none" w:sz="0" w:space="0" w:color="auto"/>
        <w:left w:val="none" w:sz="0" w:space="0" w:color="auto"/>
        <w:bottom w:val="none" w:sz="0" w:space="0" w:color="auto"/>
        <w:right w:val="none" w:sz="0" w:space="0" w:color="auto"/>
      </w:divBdr>
    </w:div>
    <w:div w:id="1314144423">
      <w:bodyDiv w:val="1"/>
      <w:marLeft w:val="0"/>
      <w:marRight w:val="0"/>
      <w:marTop w:val="0"/>
      <w:marBottom w:val="0"/>
      <w:divBdr>
        <w:top w:val="none" w:sz="0" w:space="0" w:color="auto"/>
        <w:left w:val="none" w:sz="0" w:space="0" w:color="auto"/>
        <w:bottom w:val="none" w:sz="0" w:space="0" w:color="auto"/>
        <w:right w:val="none" w:sz="0" w:space="0" w:color="auto"/>
      </w:divBdr>
    </w:div>
    <w:div w:id="1721436247">
      <w:bodyDiv w:val="1"/>
      <w:marLeft w:val="0"/>
      <w:marRight w:val="0"/>
      <w:marTop w:val="0"/>
      <w:marBottom w:val="0"/>
      <w:divBdr>
        <w:top w:val="none" w:sz="0" w:space="0" w:color="auto"/>
        <w:left w:val="none" w:sz="0" w:space="0" w:color="auto"/>
        <w:bottom w:val="none" w:sz="0" w:space="0" w:color="auto"/>
        <w:right w:val="none" w:sz="0" w:space="0" w:color="auto"/>
      </w:divBdr>
    </w:div>
    <w:div w:id="214126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umanitarianresponse.info/en/programme-cycle/space/page/strategic-response-plannin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2014-03-25T00:00:00</PublishDate>
  <Abstract>Project: Consolidation of the WASH Sector/Cluster assessment and information management procedures during preparedness, response and transition phases and development of a capacity building strategy for the Global WASH Cluster partners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140061-BE74-4CCB-810F-72D9DF0C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Humanitarian Response Planning Process</vt:lpstr>
    </vt:vector>
  </TitlesOfParts>
  <Company>Global WASH Cluster</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Humanitarian Response Planning Process</dc:title>
  <dc:subject>INSERT SUBTITLE OR CONTEXT OF PROJECT</dc:subject>
  <dc:creator>Global WASH Cluster</dc:creator>
  <cp:lastModifiedBy>Clara Deniz Buelhoff</cp:lastModifiedBy>
  <cp:revision>3</cp:revision>
  <dcterms:created xsi:type="dcterms:W3CDTF">2016-07-20T15:11:00Z</dcterms:created>
  <dcterms:modified xsi:type="dcterms:W3CDTF">2016-07-21T14:06:00Z</dcterms:modified>
</cp:coreProperties>
</file>