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940C" w14:textId="1E1C8252" w:rsidR="00B95606" w:rsidRPr="00BC728A" w:rsidRDefault="00CD0225" w:rsidP="00BC728A">
      <w:pPr>
        <w:pStyle w:val="Heading1"/>
      </w:pPr>
      <w:r w:rsidRPr="00BC728A">
        <w:t xml:space="preserve">Options Paper – </w:t>
      </w:r>
      <w:r w:rsidR="00CD3D97" w:rsidRPr="00BC728A">
        <w:t xml:space="preserve">Harmonizing approaches to </w:t>
      </w:r>
      <w:r w:rsidR="00AA404A" w:rsidRPr="00BC728A">
        <w:t xml:space="preserve">defining </w:t>
      </w:r>
      <w:r w:rsidR="00C93B10" w:rsidRPr="00BC728A">
        <w:t>H</w:t>
      </w:r>
      <w:r w:rsidRPr="00BC728A">
        <w:t>umanitarian Targets</w:t>
      </w:r>
    </w:p>
    <w:p w14:paraId="0C00BA6F" w14:textId="77777777" w:rsidR="00E27450" w:rsidRDefault="00CD0225" w:rsidP="00E27450">
      <w:pPr>
        <w:pStyle w:val="Heading2"/>
      </w:pPr>
      <w:r w:rsidRPr="00AA404A">
        <w:t>Problem statement:</w:t>
      </w:r>
      <w:r>
        <w:t xml:space="preserve">  </w:t>
      </w:r>
    </w:p>
    <w:p w14:paraId="4B15D2E5" w14:textId="3E8DE7EF" w:rsidR="00CD0225" w:rsidRDefault="00CD3D97" w:rsidP="008D318C">
      <w:pPr>
        <w:spacing w:line="240" w:lineRule="auto"/>
      </w:pPr>
      <w:r>
        <w:t xml:space="preserve">There is great inconsistency in how </w:t>
      </w:r>
      <w:r w:rsidR="00CD0225">
        <w:t xml:space="preserve">UNICEF as well as wider inter-agency </w:t>
      </w:r>
      <w:r>
        <w:t xml:space="preserve">response plans are setting targets in relation to </w:t>
      </w:r>
      <w:r w:rsidR="00FE78F0">
        <w:t>population in need</w:t>
      </w:r>
      <w:r w:rsidR="008D318C">
        <w:t>.  In</w:t>
      </w:r>
      <w:r w:rsidR="000B212F">
        <w:t xml:space="preserve"> the</w:t>
      </w:r>
      <w:r w:rsidR="00FE78F0">
        <w:t xml:space="preserve"> extreme</w:t>
      </w:r>
      <w:r w:rsidR="008D318C">
        <w:t>, this</w:t>
      </w:r>
      <w:r w:rsidR="00FE78F0">
        <w:t xml:space="preserve"> is </w:t>
      </w:r>
      <w:r w:rsidR="000B212F">
        <w:t>undermining commitm</w:t>
      </w:r>
      <w:r w:rsidR="00FE78F0">
        <w:t>ents to ‘leave no one behind’</w:t>
      </w:r>
      <w:r w:rsidR="008D318C">
        <w:t xml:space="preserve">, </w:t>
      </w:r>
      <w:r w:rsidR="00FE78F0">
        <w:t>standards under SPHERE/INEE</w:t>
      </w:r>
      <w:r w:rsidR="000B212F">
        <w:t>, or even UNICEF CCCs</w:t>
      </w:r>
      <w:r w:rsidR="008D318C">
        <w:t xml:space="preserve"> and </w:t>
      </w:r>
      <w:r w:rsidR="000B212F">
        <w:t>Cluster Lead Agency commitments as Provider of Last Resort</w:t>
      </w:r>
      <w:r w:rsidR="00FE78F0">
        <w:t>.</w:t>
      </w:r>
      <w:r w:rsidR="008D318C">
        <w:t xml:space="preserve">  Lack of consistency also undermines donor confidence in funding appeal levels and performance against targets.</w:t>
      </w:r>
    </w:p>
    <w:p w14:paraId="34CE73B7" w14:textId="0C6933A9" w:rsidR="00E27450" w:rsidRDefault="00E27450" w:rsidP="00E27450">
      <w:pPr>
        <w:pStyle w:val="Heading2"/>
      </w:pPr>
      <w:r>
        <w:t>Options</w:t>
      </w:r>
      <w:r w:rsidR="008D318C">
        <w:t xml:space="preserve"> on positioning: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535"/>
        <w:gridCol w:w="4560"/>
        <w:gridCol w:w="4560"/>
        <w:gridCol w:w="4560"/>
      </w:tblGrid>
      <w:tr w:rsidR="00860C20" w14:paraId="761BBDAF" w14:textId="77777777" w:rsidTr="008D318C">
        <w:trPr>
          <w:tblHeader/>
        </w:trPr>
        <w:tc>
          <w:tcPr>
            <w:tcW w:w="535" w:type="dxa"/>
            <w:shd w:val="clear" w:color="auto" w:fill="D9E2F3" w:themeFill="accent1" w:themeFillTint="33"/>
          </w:tcPr>
          <w:p w14:paraId="76728508" w14:textId="77777777" w:rsidR="00E27450" w:rsidRPr="00E60920" w:rsidRDefault="00E27450" w:rsidP="00CD02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D9E2F3" w:themeFill="accent1" w:themeFillTint="33"/>
          </w:tcPr>
          <w:p w14:paraId="22668576" w14:textId="09DFC62B" w:rsidR="00E27450" w:rsidRPr="00E60920" w:rsidRDefault="00A62828" w:rsidP="00E27450">
            <w:pPr>
              <w:jc w:val="center"/>
              <w:rPr>
                <w:i/>
                <w:sz w:val="20"/>
                <w:szCs w:val="20"/>
              </w:rPr>
            </w:pPr>
            <w:r w:rsidRPr="00E60920">
              <w:rPr>
                <w:i/>
                <w:sz w:val="20"/>
                <w:szCs w:val="20"/>
              </w:rPr>
              <w:t>O</w:t>
            </w:r>
            <w:r w:rsidR="00E27450" w:rsidRPr="00E60920">
              <w:rPr>
                <w:i/>
                <w:sz w:val="20"/>
                <w:szCs w:val="20"/>
              </w:rPr>
              <w:t>ption A</w:t>
            </w:r>
            <w:r w:rsidRPr="00E60920">
              <w:rPr>
                <w:i/>
                <w:sz w:val="20"/>
                <w:szCs w:val="20"/>
              </w:rPr>
              <w:t>: Aspirational</w:t>
            </w:r>
            <w:r w:rsidR="001C50F3">
              <w:rPr>
                <w:i/>
                <w:sz w:val="20"/>
                <w:szCs w:val="20"/>
              </w:rPr>
              <w:t xml:space="preserve"> based on needs</w:t>
            </w:r>
          </w:p>
        </w:tc>
        <w:tc>
          <w:tcPr>
            <w:tcW w:w="4560" w:type="dxa"/>
            <w:shd w:val="clear" w:color="auto" w:fill="D9E2F3" w:themeFill="accent1" w:themeFillTint="33"/>
          </w:tcPr>
          <w:p w14:paraId="521AB597" w14:textId="0A999DCF" w:rsidR="00E27450" w:rsidRPr="00E60920" w:rsidRDefault="00E27450" w:rsidP="00E27450">
            <w:pPr>
              <w:jc w:val="center"/>
              <w:rPr>
                <w:i/>
                <w:sz w:val="20"/>
                <w:szCs w:val="20"/>
              </w:rPr>
            </w:pPr>
            <w:r w:rsidRPr="00E60920">
              <w:rPr>
                <w:i/>
                <w:sz w:val="20"/>
                <w:szCs w:val="20"/>
              </w:rPr>
              <w:t>Option B</w:t>
            </w:r>
            <w:r w:rsidR="00A62828" w:rsidRPr="00E60920">
              <w:rPr>
                <w:i/>
                <w:sz w:val="20"/>
                <w:szCs w:val="20"/>
              </w:rPr>
              <w:t>: Aspirational</w:t>
            </w:r>
            <w:r w:rsidR="001F17CE">
              <w:rPr>
                <w:i/>
                <w:sz w:val="20"/>
                <w:szCs w:val="20"/>
              </w:rPr>
              <w:t xml:space="preserve"> </w:t>
            </w:r>
            <w:r w:rsidR="001C50F3">
              <w:rPr>
                <w:i/>
                <w:sz w:val="20"/>
                <w:szCs w:val="20"/>
              </w:rPr>
              <w:t xml:space="preserve">but taking </w:t>
            </w:r>
            <w:r w:rsidR="00FB1AA3">
              <w:rPr>
                <w:i/>
                <w:sz w:val="20"/>
                <w:szCs w:val="20"/>
              </w:rPr>
              <w:t xml:space="preserve">capacity </w:t>
            </w:r>
            <w:r w:rsidR="00737E19">
              <w:rPr>
                <w:i/>
                <w:sz w:val="20"/>
                <w:szCs w:val="20"/>
              </w:rPr>
              <w:t>constraints</w:t>
            </w:r>
            <w:r w:rsidR="001C50F3">
              <w:rPr>
                <w:i/>
                <w:sz w:val="20"/>
                <w:szCs w:val="20"/>
              </w:rPr>
              <w:t xml:space="preserve"> into consideration</w:t>
            </w:r>
          </w:p>
        </w:tc>
        <w:tc>
          <w:tcPr>
            <w:tcW w:w="4560" w:type="dxa"/>
            <w:shd w:val="clear" w:color="auto" w:fill="D9E2F3" w:themeFill="accent1" w:themeFillTint="33"/>
          </w:tcPr>
          <w:p w14:paraId="65B544C2" w14:textId="427C9BD2" w:rsidR="00E27450" w:rsidRPr="00E60920" w:rsidRDefault="00E27450" w:rsidP="00E27450">
            <w:pPr>
              <w:jc w:val="center"/>
              <w:rPr>
                <w:i/>
                <w:sz w:val="20"/>
                <w:szCs w:val="20"/>
              </w:rPr>
            </w:pPr>
            <w:r w:rsidRPr="00E60920">
              <w:rPr>
                <w:i/>
                <w:sz w:val="20"/>
                <w:szCs w:val="20"/>
              </w:rPr>
              <w:t>Option C</w:t>
            </w:r>
            <w:r w:rsidR="00A62828" w:rsidRPr="00E60920">
              <w:rPr>
                <w:i/>
                <w:sz w:val="20"/>
                <w:szCs w:val="20"/>
              </w:rPr>
              <w:t>: Pragmatic</w:t>
            </w:r>
            <w:r w:rsidR="00B40067">
              <w:rPr>
                <w:i/>
                <w:sz w:val="20"/>
                <w:szCs w:val="20"/>
              </w:rPr>
              <w:t xml:space="preserve"> </w:t>
            </w:r>
            <w:r w:rsidR="001C50F3">
              <w:rPr>
                <w:i/>
                <w:sz w:val="20"/>
                <w:szCs w:val="20"/>
              </w:rPr>
              <w:t xml:space="preserve">taking capacity </w:t>
            </w:r>
            <w:r w:rsidR="00B40067">
              <w:rPr>
                <w:i/>
                <w:sz w:val="20"/>
                <w:szCs w:val="20"/>
              </w:rPr>
              <w:t>and funding</w:t>
            </w:r>
            <w:r w:rsidR="001C50F3">
              <w:rPr>
                <w:i/>
                <w:sz w:val="20"/>
                <w:szCs w:val="20"/>
              </w:rPr>
              <w:t xml:space="preserve"> constraints into consideration</w:t>
            </w:r>
          </w:p>
        </w:tc>
      </w:tr>
      <w:tr w:rsidR="00A62828" w14:paraId="69E7EFB9" w14:textId="77777777" w:rsidTr="00E60920">
        <w:trPr>
          <w:cantSplit/>
          <w:trHeight w:val="1134"/>
        </w:trPr>
        <w:tc>
          <w:tcPr>
            <w:tcW w:w="535" w:type="dxa"/>
            <w:textDirection w:val="btLr"/>
          </w:tcPr>
          <w:p w14:paraId="2148E267" w14:textId="348002FF" w:rsidR="00E27450" w:rsidRPr="00E60920" w:rsidRDefault="00B94656" w:rsidP="00B9465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E60920">
              <w:rPr>
                <w:rFonts w:cstheme="minorHAnsi"/>
                <w:sz w:val="20"/>
                <w:szCs w:val="20"/>
              </w:rPr>
              <w:t>Position</w:t>
            </w:r>
          </w:p>
        </w:tc>
        <w:tc>
          <w:tcPr>
            <w:tcW w:w="4560" w:type="dxa"/>
          </w:tcPr>
          <w:p w14:paraId="49EF82DA" w14:textId="0917E07E" w:rsidR="001F17CE" w:rsidRDefault="007507A7" w:rsidP="001F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1F17CE" w:rsidRPr="007507A7">
              <w:rPr>
                <w:b/>
                <w:sz w:val="20"/>
                <w:szCs w:val="20"/>
              </w:rPr>
              <w:t xml:space="preserve">combined targets of cluster partners </w:t>
            </w:r>
            <w:r>
              <w:rPr>
                <w:b/>
                <w:sz w:val="20"/>
                <w:szCs w:val="20"/>
              </w:rPr>
              <w:t>should be</w:t>
            </w:r>
            <w:r w:rsidR="001F17CE" w:rsidRPr="00E60920">
              <w:rPr>
                <w:b/>
                <w:sz w:val="20"/>
                <w:szCs w:val="20"/>
              </w:rPr>
              <w:t xml:space="preserve"> equal </w:t>
            </w:r>
            <w:r>
              <w:rPr>
                <w:b/>
                <w:sz w:val="20"/>
                <w:szCs w:val="20"/>
              </w:rPr>
              <w:t xml:space="preserve">to </w:t>
            </w:r>
            <w:r w:rsidR="001F17CE" w:rsidRPr="00E60920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 xml:space="preserve">total </w:t>
            </w:r>
            <w:r w:rsidR="001F17CE" w:rsidRPr="00E60920">
              <w:rPr>
                <w:b/>
                <w:sz w:val="20"/>
                <w:szCs w:val="20"/>
              </w:rPr>
              <w:t>population in need</w:t>
            </w:r>
            <w:r w:rsidR="001F17CE" w:rsidRPr="00E60920">
              <w:rPr>
                <w:sz w:val="20"/>
                <w:szCs w:val="20"/>
              </w:rPr>
              <w:t xml:space="preserve"> (i.e. 100% of the population of the appropriate age/gender for the intervention</w:t>
            </w:r>
            <w:r>
              <w:rPr>
                <w:sz w:val="20"/>
                <w:szCs w:val="20"/>
              </w:rPr>
              <w:t xml:space="preserve"> is to be reached</w:t>
            </w:r>
            <w:r w:rsidR="001F17CE" w:rsidRPr="00E6092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in clusters where UNICEF is CLA, as provider of last resort, it will adjust targets to fill the gaps to reach the total population in need</w:t>
            </w:r>
            <w:r w:rsidR="001F17CE" w:rsidRPr="00E609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Where UNICEF is not CLA, it will adjust targets to fill gaps to reach the total population in need in relation to the CCCs.</w:t>
            </w:r>
          </w:p>
          <w:p w14:paraId="4416644D" w14:textId="2742A499" w:rsidR="007507A7" w:rsidRDefault="007507A7" w:rsidP="001F17CE">
            <w:pPr>
              <w:rPr>
                <w:sz w:val="20"/>
                <w:szCs w:val="20"/>
              </w:rPr>
            </w:pPr>
          </w:p>
          <w:p w14:paraId="04225EC4" w14:textId="6CFEFEC8" w:rsidR="00C93B10" w:rsidRPr="00E60920" w:rsidRDefault="00C93B10" w:rsidP="007507A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</w:tcPr>
          <w:p w14:paraId="0D8135B9" w14:textId="7C823560" w:rsidR="001F17CE" w:rsidRPr="00E60920" w:rsidRDefault="007507A7" w:rsidP="001F1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7507A7">
              <w:rPr>
                <w:b/>
                <w:sz w:val="20"/>
                <w:szCs w:val="20"/>
              </w:rPr>
              <w:t xml:space="preserve">combined targets of cluster partners </w:t>
            </w:r>
            <w:r>
              <w:rPr>
                <w:b/>
                <w:sz w:val="20"/>
                <w:szCs w:val="20"/>
              </w:rPr>
              <w:t>should be</w:t>
            </w:r>
            <w:r w:rsidRPr="00E60920">
              <w:rPr>
                <w:b/>
                <w:sz w:val="20"/>
                <w:szCs w:val="20"/>
              </w:rPr>
              <w:t xml:space="preserve"> equal </w:t>
            </w:r>
            <w:r>
              <w:rPr>
                <w:b/>
                <w:sz w:val="20"/>
                <w:szCs w:val="20"/>
              </w:rPr>
              <w:t xml:space="preserve">to </w:t>
            </w:r>
            <w:r w:rsidRPr="00E60920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 xml:space="preserve">total </w:t>
            </w:r>
            <w:r w:rsidRPr="00E60920">
              <w:rPr>
                <w:b/>
                <w:sz w:val="20"/>
                <w:szCs w:val="20"/>
              </w:rPr>
              <w:t>population in need</w:t>
            </w:r>
            <w:r w:rsidR="00D347EC">
              <w:rPr>
                <w:b/>
                <w:sz w:val="20"/>
                <w:szCs w:val="20"/>
              </w:rPr>
              <w:t xml:space="preserve"> in as far as is possible</w:t>
            </w:r>
            <w:r w:rsidR="00D347EC" w:rsidRPr="00D347EC">
              <w:rPr>
                <w:sz w:val="20"/>
                <w:szCs w:val="20"/>
              </w:rPr>
              <w:t>, with UNICEF adjusting targets to fill gaps to reach the total population where UNICEF is CLA and for interventions in relation to the CCCs</w:t>
            </w:r>
            <w:r w:rsidR="00D347EC">
              <w:rPr>
                <w:b/>
                <w:sz w:val="20"/>
                <w:szCs w:val="20"/>
              </w:rPr>
              <w:t xml:space="preserve">, </w:t>
            </w:r>
            <w:r w:rsidR="00D347EC" w:rsidRPr="00D347EC">
              <w:rPr>
                <w:sz w:val="20"/>
                <w:szCs w:val="20"/>
              </w:rPr>
              <w:t>taking into cons</w:t>
            </w:r>
            <w:r w:rsidR="001C50F3" w:rsidRPr="00D347EC">
              <w:rPr>
                <w:sz w:val="20"/>
                <w:szCs w:val="20"/>
              </w:rPr>
              <w:t>ideration</w:t>
            </w:r>
            <w:r w:rsidR="001C50F3">
              <w:rPr>
                <w:sz w:val="20"/>
                <w:szCs w:val="20"/>
              </w:rPr>
              <w:t xml:space="preserve"> the following</w:t>
            </w:r>
            <w:r w:rsidR="00D347EC">
              <w:rPr>
                <w:sz w:val="20"/>
                <w:szCs w:val="20"/>
              </w:rPr>
              <w:t xml:space="preserve"> limits to implementation</w:t>
            </w:r>
            <w:r w:rsidR="001C50F3">
              <w:rPr>
                <w:sz w:val="20"/>
                <w:szCs w:val="20"/>
              </w:rPr>
              <w:t>:</w:t>
            </w:r>
          </w:p>
          <w:p w14:paraId="5E3C6987" w14:textId="5BE8EB0D" w:rsidR="001F17CE" w:rsidRDefault="001F17CE" w:rsidP="001F17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6" w:hanging="180"/>
              <w:rPr>
                <w:sz w:val="20"/>
                <w:szCs w:val="20"/>
              </w:rPr>
            </w:pPr>
            <w:r w:rsidRPr="00E60920">
              <w:rPr>
                <w:sz w:val="20"/>
                <w:szCs w:val="20"/>
              </w:rPr>
              <w:t xml:space="preserve">Severe capacity constraints/ gaps </w:t>
            </w:r>
            <w:r w:rsidR="008738BB">
              <w:rPr>
                <w:sz w:val="20"/>
                <w:szCs w:val="20"/>
              </w:rPr>
              <w:t>among implementing partners which could not be addressed in the planning timeframe e</w:t>
            </w:r>
            <w:r w:rsidR="00F73A23">
              <w:rPr>
                <w:sz w:val="20"/>
                <w:szCs w:val="20"/>
              </w:rPr>
              <w:t xml:space="preserve">ven with </w:t>
            </w:r>
            <w:r w:rsidRPr="00E60920">
              <w:rPr>
                <w:sz w:val="20"/>
                <w:szCs w:val="20"/>
              </w:rPr>
              <w:t>fully funded</w:t>
            </w:r>
            <w:r w:rsidR="001D295F">
              <w:rPr>
                <w:sz w:val="20"/>
                <w:szCs w:val="20"/>
              </w:rPr>
              <w:t xml:space="preserve"> capacity development strategies</w:t>
            </w:r>
            <w:r w:rsidR="00D347EC">
              <w:rPr>
                <w:sz w:val="20"/>
                <w:szCs w:val="20"/>
              </w:rPr>
              <w:t>;</w:t>
            </w:r>
          </w:p>
          <w:p w14:paraId="118E2EC9" w14:textId="35657613" w:rsidR="00D347EC" w:rsidRDefault="00D347EC" w:rsidP="001F17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access constraints which cannot be addressed even with implementation of strong advocacy strategy;</w:t>
            </w:r>
          </w:p>
          <w:p w14:paraId="130FBFD4" w14:textId="77777777" w:rsidR="001C50F3" w:rsidRPr="00E60920" w:rsidRDefault="001C50F3" w:rsidP="001C50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6" w:hanging="180"/>
              <w:rPr>
                <w:sz w:val="20"/>
                <w:szCs w:val="20"/>
              </w:rPr>
            </w:pPr>
            <w:r w:rsidRPr="00E60920">
              <w:rPr>
                <w:sz w:val="20"/>
                <w:szCs w:val="20"/>
              </w:rPr>
              <w:t xml:space="preserve">Limited planning timeframes (e.g. a 3-month initial </w:t>
            </w:r>
            <w:r>
              <w:rPr>
                <w:sz w:val="20"/>
                <w:szCs w:val="20"/>
              </w:rPr>
              <w:t xml:space="preserve">disaster </w:t>
            </w:r>
            <w:r w:rsidRPr="00E60920">
              <w:rPr>
                <w:sz w:val="20"/>
                <w:szCs w:val="20"/>
              </w:rPr>
              <w:t>response plan</w:t>
            </w:r>
            <w:r>
              <w:rPr>
                <w:sz w:val="20"/>
                <w:szCs w:val="20"/>
              </w:rPr>
              <w:t xml:space="preserve"> will not reach 100%</w:t>
            </w:r>
            <w:r w:rsidRPr="00E60920">
              <w:rPr>
                <w:sz w:val="20"/>
                <w:szCs w:val="20"/>
              </w:rPr>
              <w:t>);</w:t>
            </w:r>
          </w:p>
          <w:p w14:paraId="359A3469" w14:textId="26B08DCB" w:rsidR="00E27450" w:rsidRPr="001F17CE" w:rsidRDefault="001F17CE" w:rsidP="001F17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6" w:hanging="180"/>
              <w:rPr>
                <w:sz w:val="20"/>
                <w:szCs w:val="20"/>
              </w:rPr>
            </w:pPr>
            <w:r w:rsidRPr="001F17CE">
              <w:rPr>
                <w:sz w:val="20"/>
                <w:szCs w:val="20"/>
              </w:rPr>
              <w:t>Some interventions where relevant benchmarks are lower than 100% (e.g. 95% coverage for measles vaccination)</w:t>
            </w:r>
          </w:p>
        </w:tc>
        <w:tc>
          <w:tcPr>
            <w:tcW w:w="4560" w:type="dxa"/>
          </w:tcPr>
          <w:p w14:paraId="055F5565" w14:textId="1702F349" w:rsidR="00F52127" w:rsidRDefault="00D347EC" w:rsidP="00757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93848" w:rsidRPr="00E60920">
              <w:rPr>
                <w:sz w:val="20"/>
                <w:szCs w:val="20"/>
              </w:rPr>
              <w:t xml:space="preserve">s </w:t>
            </w:r>
            <w:r w:rsidR="0075774F" w:rsidRPr="00E60920">
              <w:rPr>
                <w:sz w:val="20"/>
                <w:szCs w:val="20"/>
              </w:rPr>
              <w:t xml:space="preserve">for Option </w:t>
            </w:r>
            <w:r>
              <w:rPr>
                <w:sz w:val="20"/>
                <w:szCs w:val="20"/>
              </w:rPr>
              <w:t>B</w:t>
            </w:r>
            <w:r w:rsidR="0075774F" w:rsidRPr="00E60920">
              <w:rPr>
                <w:sz w:val="20"/>
                <w:szCs w:val="20"/>
              </w:rPr>
              <w:t xml:space="preserve"> as well as </w:t>
            </w:r>
            <w:r w:rsidR="00A93848" w:rsidRPr="00E60920">
              <w:rPr>
                <w:sz w:val="20"/>
                <w:szCs w:val="20"/>
              </w:rPr>
              <w:t xml:space="preserve">taking into consideration </w:t>
            </w:r>
            <w:r w:rsidR="0075774F" w:rsidRPr="00E60920">
              <w:rPr>
                <w:sz w:val="20"/>
                <w:szCs w:val="20"/>
              </w:rPr>
              <w:t>past and likely funding levels.</w:t>
            </w:r>
            <w:r w:rsidR="00F52127">
              <w:rPr>
                <w:sz w:val="20"/>
                <w:szCs w:val="20"/>
              </w:rPr>
              <w:t xml:space="preserve"> </w:t>
            </w:r>
          </w:p>
          <w:p w14:paraId="1ADF3AAD" w14:textId="77777777" w:rsidR="00F52127" w:rsidRDefault="00F52127" w:rsidP="0075774F">
            <w:pPr>
              <w:rPr>
                <w:sz w:val="20"/>
                <w:szCs w:val="20"/>
              </w:rPr>
            </w:pPr>
          </w:p>
          <w:p w14:paraId="6CBC35FD" w14:textId="62375F37" w:rsidR="0075774F" w:rsidRPr="00E60920" w:rsidRDefault="00F52127" w:rsidP="00757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(Expected funding levels are the primary driver of </w:t>
            </w:r>
            <w:r w:rsidR="001F17CE">
              <w:rPr>
                <w:sz w:val="20"/>
                <w:szCs w:val="20"/>
              </w:rPr>
              <w:t xml:space="preserve">significantly </w:t>
            </w:r>
            <w:r>
              <w:rPr>
                <w:sz w:val="20"/>
                <w:szCs w:val="20"/>
              </w:rPr>
              <w:t>lower targets</w:t>
            </w:r>
            <w:r w:rsidR="001F17CE">
              <w:rPr>
                <w:sz w:val="20"/>
                <w:szCs w:val="20"/>
              </w:rPr>
              <w:t xml:space="preserve"> along with access</w:t>
            </w:r>
            <w:r>
              <w:rPr>
                <w:sz w:val="20"/>
                <w:szCs w:val="20"/>
              </w:rPr>
              <w:t>. This option still requires decision on exact relationship between past/expected funding and target level</w:t>
            </w:r>
            <w:r w:rsidR="001F17CE">
              <w:rPr>
                <w:sz w:val="20"/>
                <w:szCs w:val="20"/>
              </w:rPr>
              <w:t>, e.g. planning targets based on past funding levels + X%.)</w:t>
            </w:r>
          </w:p>
          <w:p w14:paraId="20B51636" w14:textId="77777777" w:rsidR="0075774F" w:rsidRPr="00E60920" w:rsidRDefault="0075774F" w:rsidP="0075774F">
            <w:pPr>
              <w:rPr>
                <w:sz w:val="20"/>
                <w:szCs w:val="20"/>
              </w:rPr>
            </w:pPr>
          </w:p>
          <w:p w14:paraId="77D96440" w14:textId="1C4C733D" w:rsidR="00E27450" w:rsidRPr="00E60920" w:rsidRDefault="00E27450" w:rsidP="00CD0225">
            <w:pPr>
              <w:rPr>
                <w:sz w:val="20"/>
                <w:szCs w:val="20"/>
              </w:rPr>
            </w:pPr>
          </w:p>
        </w:tc>
      </w:tr>
      <w:tr w:rsidR="00860C20" w14:paraId="59097D5C" w14:textId="77777777" w:rsidTr="00E60920">
        <w:trPr>
          <w:cantSplit/>
          <w:trHeight w:val="1134"/>
        </w:trPr>
        <w:tc>
          <w:tcPr>
            <w:tcW w:w="535" w:type="dxa"/>
            <w:textDirection w:val="btLr"/>
          </w:tcPr>
          <w:p w14:paraId="01E46B72" w14:textId="034D53B2" w:rsidR="00E27450" w:rsidRPr="00E60920" w:rsidRDefault="00B94656" w:rsidP="00B9465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E60920">
              <w:rPr>
                <w:rFonts w:cstheme="minorHAnsi"/>
                <w:sz w:val="20"/>
                <w:szCs w:val="20"/>
              </w:rPr>
              <w:t>Advantages</w:t>
            </w:r>
          </w:p>
        </w:tc>
        <w:tc>
          <w:tcPr>
            <w:tcW w:w="4560" w:type="dxa"/>
          </w:tcPr>
          <w:p w14:paraId="74E4D015" w14:textId="77777777" w:rsidR="001F17CE" w:rsidRPr="00E60920" w:rsidRDefault="001F17CE" w:rsidP="001F17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60920">
              <w:rPr>
                <w:sz w:val="20"/>
                <w:szCs w:val="20"/>
              </w:rPr>
              <w:t>onsistent with ‘leave no one behind’ commitment</w:t>
            </w:r>
          </w:p>
          <w:p w14:paraId="090FBA68" w14:textId="77777777" w:rsidR="001F17CE" w:rsidRDefault="001F17CE" w:rsidP="001F17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6" w:hanging="166"/>
              <w:rPr>
                <w:sz w:val="20"/>
                <w:szCs w:val="20"/>
              </w:rPr>
            </w:pPr>
            <w:r w:rsidRPr="00E60920">
              <w:rPr>
                <w:sz w:val="20"/>
                <w:szCs w:val="20"/>
              </w:rPr>
              <w:t>Greater transparency about unmet needs</w:t>
            </w:r>
          </w:p>
          <w:p w14:paraId="28354E59" w14:textId="5FA0A442" w:rsidR="001F17CE" w:rsidRPr="007656A6" w:rsidRDefault="001F17CE" w:rsidP="001F17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setting is simplified </w:t>
            </w:r>
          </w:p>
          <w:p w14:paraId="32FAA2B9" w14:textId="06EABB24" w:rsidR="007656A6" w:rsidRPr="007656A6" w:rsidRDefault="007656A6" w:rsidP="001F17CE">
            <w:pPr>
              <w:pStyle w:val="ListParagraph"/>
              <w:spacing w:after="0" w:line="240" w:lineRule="auto"/>
              <w:ind w:left="166"/>
              <w:rPr>
                <w:sz w:val="20"/>
                <w:szCs w:val="20"/>
              </w:rPr>
            </w:pPr>
          </w:p>
        </w:tc>
        <w:tc>
          <w:tcPr>
            <w:tcW w:w="4560" w:type="dxa"/>
          </w:tcPr>
          <w:p w14:paraId="30CA5184" w14:textId="66660228" w:rsidR="001F17CE" w:rsidRPr="00E60920" w:rsidRDefault="001F17CE" w:rsidP="001F17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6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</w:t>
            </w:r>
            <w:r w:rsidRPr="00E60920">
              <w:rPr>
                <w:sz w:val="20"/>
                <w:szCs w:val="20"/>
              </w:rPr>
              <w:t xml:space="preserve"> </w:t>
            </w:r>
            <w:r w:rsidR="00B07672">
              <w:rPr>
                <w:sz w:val="20"/>
                <w:szCs w:val="20"/>
              </w:rPr>
              <w:t xml:space="preserve">more </w:t>
            </w:r>
            <w:r w:rsidRPr="00E60920">
              <w:rPr>
                <w:sz w:val="20"/>
                <w:szCs w:val="20"/>
              </w:rPr>
              <w:t>consistent with ‘leave no one behind’ commitment</w:t>
            </w:r>
            <w:r w:rsidR="00B07672">
              <w:rPr>
                <w:sz w:val="20"/>
                <w:szCs w:val="20"/>
              </w:rPr>
              <w:t xml:space="preserve"> than option C</w:t>
            </w:r>
          </w:p>
          <w:p w14:paraId="5CA6111D" w14:textId="77777777" w:rsidR="001F17CE" w:rsidRPr="00E60920" w:rsidRDefault="001F17CE" w:rsidP="001F17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6" w:hanging="166"/>
              <w:rPr>
                <w:sz w:val="20"/>
                <w:szCs w:val="20"/>
              </w:rPr>
            </w:pPr>
            <w:r w:rsidRPr="00E60920">
              <w:rPr>
                <w:sz w:val="20"/>
                <w:szCs w:val="20"/>
              </w:rPr>
              <w:t>Greater transparency about unmet needs</w:t>
            </w:r>
          </w:p>
          <w:p w14:paraId="79B63A4B" w14:textId="77D943AD" w:rsidR="007656A6" w:rsidRPr="00E60920" w:rsidRDefault="001F17CE" w:rsidP="001F17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6" w:hanging="166"/>
              <w:rPr>
                <w:sz w:val="20"/>
                <w:szCs w:val="20"/>
              </w:rPr>
            </w:pPr>
            <w:r w:rsidRPr="00E60920">
              <w:rPr>
                <w:sz w:val="20"/>
                <w:szCs w:val="20"/>
              </w:rPr>
              <w:t xml:space="preserve">Targets are grounded with reference to timeframes and major implementation constraints, therefore potentially better for advocacy on unmet </w:t>
            </w:r>
            <w:r w:rsidR="00DF207C">
              <w:rPr>
                <w:sz w:val="20"/>
                <w:szCs w:val="20"/>
              </w:rPr>
              <w:t xml:space="preserve">funding </w:t>
            </w:r>
            <w:r w:rsidRPr="00E60920">
              <w:rPr>
                <w:sz w:val="20"/>
                <w:szCs w:val="20"/>
              </w:rPr>
              <w:t xml:space="preserve">needs than option </w:t>
            </w:r>
            <w:r>
              <w:rPr>
                <w:sz w:val="20"/>
                <w:szCs w:val="20"/>
              </w:rPr>
              <w:t>A</w:t>
            </w:r>
          </w:p>
          <w:p w14:paraId="5441506D" w14:textId="77777777" w:rsidR="00E27450" w:rsidRPr="00E60920" w:rsidRDefault="00E27450" w:rsidP="00CD0225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</w:tcPr>
          <w:p w14:paraId="2860926C" w14:textId="029F3C36" w:rsidR="00E27450" w:rsidRPr="00E60920" w:rsidRDefault="00166DFC" w:rsidP="007577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36" w:hanging="180"/>
              <w:rPr>
                <w:sz w:val="20"/>
                <w:szCs w:val="20"/>
              </w:rPr>
            </w:pPr>
            <w:r w:rsidRPr="00E60920">
              <w:rPr>
                <w:sz w:val="20"/>
                <w:szCs w:val="20"/>
              </w:rPr>
              <w:t>Target</w:t>
            </w:r>
            <w:r w:rsidR="003C5FEE">
              <w:rPr>
                <w:sz w:val="20"/>
                <w:szCs w:val="20"/>
              </w:rPr>
              <w:t>s will be</w:t>
            </w:r>
            <w:r w:rsidRPr="00E60920">
              <w:rPr>
                <w:sz w:val="20"/>
                <w:szCs w:val="20"/>
              </w:rPr>
              <w:t xml:space="preserve"> achievable performance targets where funding targets are reached</w:t>
            </w:r>
          </w:p>
          <w:p w14:paraId="68B73F6F" w14:textId="30E37F0C" w:rsidR="00166DFC" w:rsidRPr="00E60920" w:rsidRDefault="00166DFC" w:rsidP="00166D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36" w:hanging="180"/>
              <w:rPr>
                <w:sz w:val="20"/>
                <w:szCs w:val="20"/>
              </w:rPr>
            </w:pPr>
            <w:r w:rsidRPr="00E60920">
              <w:rPr>
                <w:sz w:val="20"/>
                <w:szCs w:val="20"/>
              </w:rPr>
              <w:t>Donors have more confidence that funding targets are prioritized</w:t>
            </w:r>
          </w:p>
        </w:tc>
      </w:tr>
      <w:tr w:rsidR="00B94656" w14:paraId="6A2AB61E" w14:textId="77777777" w:rsidTr="00E60920">
        <w:trPr>
          <w:cantSplit/>
          <w:trHeight w:val="1134"/>
        </w:trPr>
        <w:tc>
          <w:tcPr>
            <w:tcW w:w="535" w:type="dxa"/>
            <w:textDirection w:val="btLr"/>
          </w:tcPr>
          <w:p w14:paraId="3CAE7DB3" w14:textId="1AA3491F" w:rsidR="00B94656" w:rsidRPr="00E60920" w:rsidRDefault="00B94656" w:rsidP="00B9465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E60920">
              <w:rPr>
                <w:rFonts w:cstheme="minorHAnsi"/>
                <w:sz w:val="20"/>
                <w:szCs w:val="20"/>
              </w:rPr>
              <w:lastRenderedPageBreak/>
              <w:t>Disadvantages</w:t>
            </w:r>
          </w:p>
        </w:tc>
        <w:tc>
          <w:tcPr>
            <w:tcW w:w="4560" w:type="dxa"/>
          </w:tcPr>
          <w:p w14:paraId="640437E5" w14:textId="4FE46352" w:rsidR="001F17CE" w:rsidRPr="00E60920" w:rsidRDefault="001F17CE" w:rsidP="001F17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6" w:hanging="180"/>
              <w:rPr>
                <w:sz w:val="20"/>
              </w:rPr>
            </w:pPr>
            <w:r>
              <w:rPr>
                <w:sz w:val="20"/>
              </w:rPr>
              <w:t>Targets will still not serve as useful performance measures without some adjustment for actual funding level</w:t>
            </w:r>
            <w:r w:rsidR="00D347EC">
              <w:rPr>
                <w:sz w:val="20"/>
              </w:rPr>
              <w:t xml:space="preserve"> and implementation constraints</w:t>
            </w:r>
            <w:r>
              <w:rPr>
                <w:sz w:val="20"/>
              </w:rPr>
              <w:t xml:space="preserve">; reporting on performance requires explaining gaps vis-à-vis targets (a bit unwieldy for external communications) OR requires a new practice of defining </w:t>
            </w:r>
            <w:r w:rsidRPr="00D347EC">
              <w:rPr>
                <w:i/>
                <w:sz w:val="20"/>
              </w:rPr>
              <w:t>adjusted targets</w:t>
            </w:r>
          </w:p>
          <w:p w14:paraId="10E1286E" w14:textId="52AD3668" w:rsidR="001F17CE" w:rsidRDefault="001F17CE" w:rsidP="001F17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6" w:hanging="180"/>
              <w:rPr>
                <w:sz w:val="20"/>
              </w:rPr>
            </w:pPr>
            <w:r w:rsidRPr="00E60920">
              <w:rPr>
                <w:sz w:val="20"/>
              </w:rPr>
              <w:t>Donors may criticize funding requirements as unrealistic</w:t>
            </w:r>
            <w:r>
              <w:rPr>
                <w:sz w:val="20"/>
              </w:rPr>
              <w:t xml:space="preserve"> </w:t>
            </w:r>
          </w:p>
          <w:p w14:paraId="5A0D0A06" w14:textId="251345CA" w:rsidR="00DF207C" w:rsidRDefault="00DF207C" w:rsidP="001F17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6" w:hanging="180"/>
              <w:rPr>
                <w:sz w:val="20"/>
              </w:rPr>
            </w:pPr>
            <w:r>
              <w:rPr>
                <w:sz w:val="20"/>
              </w:rPr>
              <w:t>Setting targets and corresponding budgets still requires clear approaches to costing 100% reach taking into consideration higher costs of reaching the hard-to-reach.</w:t>
            </w:r>
          </w:p>
          <w:p w14:paraId="0D1904F0" w14:textId="091B0511" w:rsidR="003C5FEE" w:rsidRPr="001F17CE" w:rsidRDefault="003C5FEE" w:rsidP="001F17CE">
            <w:pPr>
              <w:ind w:left="-14"/>
              <w:rPr>
                <w:sz w:val="20"/>
              </w:rPr>
            </w:pPr>
          </w:p>
        </w:tc>
        <w:tc>
          <w:tcPr>
            <w:tcW w:w="4560" w:type="dxa"/>
          </w:tcPr>
          <w:p w14:paraId="6C9E258E" w14:textId="77777777" w:rsidR="001F17CE" w:rsidRPr="00E60920" w:rsidRDefault="001F17CE" w:rsidP="001F17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6" w:hanging="180"/>
              <w:rPr>
                <w:sz w:val="20"/>
              </w:rPr>
            </w:pPr>
            <w:r>
              <w:rPr>
                <w:sz w:val="20"/>
              </w:rPr>
              <w:t xml:space="preserve">Targets will still not serve as useful performance measures without some adjustment for actual funding levels; reporting on performance requires explaining gaps vis-à-vis targets (a bit unwieldy for external communications) OR requires a new practice of defining </w:t>
            </w:r>
            <w:r w:rsidRPr="00D347EC">
              <w:rPr>
                <w:i/>
                <w:sz w:val="20"/>
              </w:rPr>
              <w:t>adjusted targets</w:t>
            </w:r>
            <w:r>
              <w:rPr>
                <w:sz w:val="20"/>
              </w:rPr>
              <w:t xml:space="preserve"> </w:t>
            </w:r>
          </w:p>
          <w:p w14:paraId="71A9E754" w14:textId="77777777" w:rsidR="001F17CE" w:rsidRDefault="001F17CE" w:rsidP="001F17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6" w:hanging="180"/>
              <w:rPr>
                <w:sz w:val="20"/>
              </w:rPr>
            </w:pPr>
            <w:r>
              <w:rPr>
                <w:sz w:val="20"/>
              </w:rPr>
              <w:t>Donors may criticize funding requirements as unrealistic (though less than for option A)</w:t>
            </w:r>
          </w:p>
          <w:p w14:paraId="13DF22F0" w14:textId="74278393" w:rsidR="003C5FEE" w:rsidRPr="001F17CE" w:rsidRDefault="001F17CE" w:rsidP="001F17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6" w:hanging="180"/>
              <w:rPr>
                <w:sz w:val="20"/>
              </w:rPr>
            </w:pPr>
            <w:r w:rsidRPr="001F17CE">
              <w:rPr>
                <w:sz w:val="20"/>
              </w:rPr>
              <w:t xml:space="preserve">Setting of targets </w:t>
            </w:r>
            <w:r w:rsidR="00DF207C">
              <w:rPr>
                <w:sz w:val="20"/>
              </w:rPr>
              <w:t xml:space="preserve">and corresponding budgets </w:t>
            </w:r>
            <w:r w:rsidRPr="001F17CE">
              <w:rPr>
                <w:sz w:val="20"/>
              </w:rPr>
              <w:t>still requires good contextualized analysis, coordinated across HCT &amp; UNICEF sectors</w:t>
            </w:r>
            <w:r w:rsidR="00DF207C">
              <w:rPr>
                <w:sz w:val="20"/>
              </w:rPr>
              <w:t>, and agreement on the hard limits of capacity and access constraints, e.g. what is the highest coverage achievable with good implementation of capacity development and access strategies.</w:t>
            </w:r>
          </w:p>
        </w:tc>
        <w:tc>
          <w:tcPr>
            <w:tcW w:w="4560" w:type="dxa"/>
          </w:tcPr>
          <w:p w14:paraId="34B27A70" w14:textId="5CB553A3" w:rsidR="007656A6" w:rsidRDefault="00F52127" w:rsidP="007656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6" w:hanging="180"/>
              <w:rPr>
                <w:sz w:val="20"/>
              </w:rPr>
            </w:pPr>
            <w:r>
              <w:rPr>
                <w:sz w:val="20"/>
              </w:rPr>
              <w:t>T</w:t>
            </w:r>
            <w:r w:rsidR="007656A6">
              <w:rPr>
                <w:sz w:val="20"/>
              </w:rPr>
              <w:t>argets will tend to leave out the difficult to reach, going against “leave no one behind”</w:t>
            </w:r>
          </w:p>
          <w:p w14:paraId="335682F6" w14:textId="0D443C67" w:rsidR="00F52127" w:rsidRDefault="00F52127" w:rsidP="007656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6" w:hanging="180"/>
              <w:rPr>
                <w:sz w:val="20"/>
              </w:rPr>
            </w:pPr>
            <w:r>
              <w:rPr>
                <w:sz w:val="20"/>
              </w:rPr>
              <w:t>Targets will in some</w:t>
            </w:r>
            <w:r w:rsidR="00DF207C">
              <w:rPr>
                <w:sz w:val="20"/>
              </w:rPr>
              <w:t xml:space="preserve"> cases fall far below PIN; e.g. </w:t>
            </w:r>
            <w:r>
              <w:rPr>
                <w:sz w:val="20"/>
              </w:rPr>
              <w:t>where funding levels have been at 30% of ask</w:t>
            </w:r>
          </w:p>
          <w:p w14:paraId="4EEDD830" w14:textId="31BDC075" w:rsidR="00F52127" w:rsidRDefault="003C5FEE" w:rsidP="00F521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6" w:hanging="180"/>
              <w:rPr>
                <w:sz w:val="20"/>
              </w:rPr>
            </w:pPr>
            <w:r>
              <w:rPr>
                <w:sz w:val="20"/>
              </w:rPr>
              <w:t xml:space="preserve">Targets risk being set to only to what is </w:t>
            </w:r>
            <w:r w:rsidR="00DF207C">
              <w:rPr>
                <w:sz w:val="20"/>
              </w:rPr>
              <w:t xml:space="preserve">easily </w:t>
            </w:r>
            <w:r>
              <w:rPr>
                <w:sz w:val="20"/>
              </w:rPr>
              <w:t>achievable</w:t>
            </w:r>
            <w:r w:rsidR="00DF207C">
              <w:rPr>
                <w:sz w:val="20"/>
              </w:rPr>
              <w:t>, with offices not pushing as far as possible on access and capacity development with national partners</w:t>
            </w:r>
            <w:bookmarkStart w:id="0" w:name="_GoBack"/>
            <w:bookmarkEnd w:id="0"/>
            <w:r w:rsidR="00DF207C">
              <w:rPr>
                <w:sz w:val="20"/>
              </w:rPr>
              <w:t xml:space="preserve">  </w:t>
            </w:r>
            <w:r w:rsidR="00F52127">
              <w:rPr>
                <w:sz w:val="20"/>
              </w:rPr>
              <w:t xml:space="preserve"> </w:t>
            </w:r>
          </w:p>
          <w:p w14:paraId="0EEC5DCC" w14:textId="740CB441" w:rsidR="00F52127" w:rsidRDefault="00F52127" w:rsidP="00F521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6" w:hanging="180"/>
              <w:rPr>
                <w:sz w:val="20"/>
              </w:rPr>
            </w:pPr>
            <w:r>
              <w:rPr>
                <w:sz w:val="20"/>
              </w:rPr>
              <w:t>Setting of targets still requires good contextualized analysis, coordinated across HCT &amp; UNICEF sectors</w:t>
            </w:r>
            <w:r w:rsidR="00DF207C">
              <w:rPr>
                <w:sz w:val="20"/>
              </w:rPr>
              <w:t>, as for option B</w:t>
            </w:r>
          </w:p>
          <w:p w14:paraId="724C0A0E" w14:textId="2414932F" w:rsidR="007656A6" w:rsidRPr="00F52127" w:rsidRDefault="007656A6" w:rsidP="00F52127">
            <w:pPr>
              <w:ind w:left="-44"/>
              <w:rPr>
                <w:sz w:val="20"/>
              </w:rPr>
            </w:pPr>
          </w:p>
        </w:tc>
      </w:tr>
      <w:tr w:rsidR="00BC728A" w14:paraId="11F98A49" w14:textId="77777777" w:rsidTr="00C676A6">
        <w:trPr>
          <w:cantSplit/>
          <w:trHeight w:val="1134"/>
        </w:trPr>
        <w:tc>
          <w:tcPr>
            <w:tcW w:w="535" w:type="dxa"/>
            <w:vMerge w:val="restart"/>
            <w:textDirection w:val="btLr"/>
          </w:tcPr>
          <w:p w14:paraId="79F0130F" w14:textId="706A89D9" w:rsidR="00BC728A" w:rsidRPr="00E60920" w:rsidRDefault="00BC728A" w:rsidP="00BC728A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60920">
              <w:rPr>
                <w:rFonts w:cstheme="minorHAnsi"/>
                <w:sz w:val="20"/>
                <w:szCs w:val="20"/>
              </w:rPr>
              <w:t>Required actions</w:t>
            </w:r>
          </w:p>
        </w:tc>
        <w:tc>
          <w:tcPr>
            <w:tcW w:w="13680" w:type="dxa"/>
            <w:gridSpan w:val="3"/>
          </w:tcPr>
          <w:p w14:paraId="3D11AC05" w14:textId="067891A3" w:rsidR="00690AA7" w:rsidRDefault="00690AA7" w:rsidP="00BC72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86" w:right="1786" w:hanging="166"/>
              <w:jc w:val="center"/>
              <w:rPr>
                <w:sz w:val="20"/>
              </w:rPr>
            </w:pPr>
            <w:r>
              <w:rPr>
                <w:sz w:val="20"/>
              </w:rPr>
              <w:t>Agreement on positioning internally</w:t>
            </w:r>
          </w:p>
          <w:p w14:paraId="7B33F6BD" w14:textId="2BD3B7CC" w:rsidR="0032091F" w:rsidRPr="00690AA7" w:rsidRDefault="0032091F" w:rsidP="00320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86" w:right="1786" w:hanging="166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Harmonize internal guidance and training on setting targets </w:t>
            </w:r>
            <w:r w:rsidR="00F52127">
              <w:rPr>
                <w:sz w:val="20"/>
                <w:szCs w:val="20"/>
              </w:rPr>
              <w:t>and bu</w:t>
            </w:r>
            <w:r w:rsidR="001F17CE">
              <w:rPr>
                <w:sz w:val="20"/>
                <w:szCs w:val="20"/>
              </w:rPr>
              <w:t>d</w:t>
            </w:r>
            <w:r w:rsidR="00F52127">
              <w:rPr>
                <w:sz w:val="20"/>
                <w:szCs w:val="20"/>
              </w:rPr>
              <w:t>geting/costing</w:t>
            </w:r>
          </w:p>
          <w:p w14:paraId="344A010B" w14:textId="77777777" w:rsidR="0032091F" w:rsidRDefault="0032091F" w:rsidP="00BC72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86" w:right="1786" w:hanging="166"/>
              <w:jc w:val="center"/>
              <w:rPr>
                <w:sz w:val="20"/>
              </w:rPr>
            </w:pPr>
            <w:r>
              <w:rPr>
                <w:sz w:val="20"/>
              </w:rPr>
              <w:t>Increase quality assurance on rationale for and consistency of target setting (regional and global levels)</w:t>
            </w:r>
          </w:p>
          <w:p w14:paraId="2AE0ED3A" w14:textId="1E7325B9" w:rsidR="00BC728A" w:rsidRPr="00BC728A" w:rsidRDefault="00BC728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86" w:right="1786" w:hanging="166"/>
              <w:jc w:val="center"/>
            </w:pPr>
            <w:r>
              <w:rPr>
                <w:sz w:val="20"/>
              </w:rPr>
              <w:t xml:space="preserve">Advocate at IASC for similar clarification </w:t>
            </w:r>
            <w:r w:rsidR="00690AA7">
              <w:rPr>
                <w:sz w:val="20"/>
              </w:rPr>
              <w:t>in IA guidance and training</w:t>
            </w:r>
            <w:r>
              <w:rPr>
                <w:sz w:val="20"/>
              </w:rPr>
              <w:t xml:space="preserve"> (</w:t>
            </w:r>
            <w:hyperlink r:id="rId7" w:history="1">
              <w:r w:rsidRPr="00BC728A">
                <w:rPr>
                  <w:rFonts w:eastAsiaTheme="minorEastAsia" w:hAnsi="Calibri"/>
                  <w:color w:val="0563C1" w:themeColor="hyperlink"/>
                  <w:kern w:val="24"/>
                  <w:sz w:val="20"/>
                  <w:szCs w:val="24"/>
                  <w:u w:val="single"/>
                  <w:lang w:val="en-US"/>
                </w:rPr>
                <w:t>IASC Humanitarian Profile Support Guidance</w:t>
              </w:r>
              <w:r>
                <w:rPr>
                  <w:rFonts w:eastAsiaTheme="minorEastAsia" w:hAnsi="Calibri"/>
                  <w:color w:val="0563C1" w:themeColor="hyperlink"/>
                  <w:kern w:val="24"/>
                  <w:sz w:val="20"/>
                  <w:szCs w:val="24"/>
                  <w:u w:val="single"/>
                  <w:lang w:val="en-US"/>
                </w:rPr>
                <w:t xml:space="preserve">, </w:t>
              </w:r>
              <w:r w:rsidRPr="00BC728A">
                <w:rPr>
                  <w:rFonts w:eastAsiaTheme="minorEastAsia" w:hAnsi="Calibri"/>
                  <w:color w:val="0563C1" w:themeColor="hyperlink"/>
                  <w:kern w:val="24"/>
                  <w:sz w:val="20"/>
                  <w:szCs w:val="24"/>
                  <w:u w:val="single"/>
                  <w:lang w:val="en-US"/>
                </w:rPr>
                <w:t>Aug 2016</w:t>
              </w:r>
              <w:r>
                <w:rPr>
                  <w:rFonts w:eastAsiaTheme="minorEastAsia" w:hAnsi="Calibri"/>
                  <w:color w:val="0563C1" w:themeColor="hyperlink"/>
                  <w:kern w:val="24"/>
                  <w:sz w:val="20"/>
                  <w:szCs w:val="24"/>
                  <w:u w:val="single"/>
                  <w:lang w:val="en-US"/>
                </w:rPr>
                <w:t>,</w:t>
              </w:r>
            </w:hyperlink>
            <w:r>
              <w:rPr>
                <w:rFonts w:eastAsiaTheme="minorEastAsia" w:hAnsi="Calibri"/>
                <w:color w:val="000000" w:themeColor="text1"/>
                <w:kern w:val="24"/>
                <w:sz w:val="20"/>
                <w:szCs w:val="24"/>
                <w:lang w:val="en-US"/>
              </w:rPr>
              <w:t xml:space="preserve"> references considerations in framing targets including “</w:t>
            </w:r>
            <w:r>
              <w:rPr>
                <w:sz w:val="20"/>
                <w:szCs w:val="20"/>
              </w:rPr>
              <w:t>constraints (lack of access), response capacity, time limitations, political decisions, thresholds of intervention, relief provided outside the plan, etc.”)</w:t>
            </w:r>
          </w:p>
        </w:tc>
      </w:tr>
      <w:tr w:rsidR="00690AA7" w14:paraId="76BB17F4" w14:textId="77777777" w:rsidTr="00690AA7">
        <w:trPr>
          <w:cantSplit/>
          <w:trHeight w:val="710"/>
        </w:trPr>
        <w:tc>
          <w:tcPr>
            <w:tcW w:w="535" w:type="dxa"/>
            <w:vMerge/>
            <w:textDirection w:val="btLr"/>
          </w:tcPr>
          <w:p w14:paraId="6FC2F0C3" w14:textId="77777777" w:rsidR="00690AA7" w:rsidRPr="00E60920" w:rsidRDefault="00690AA7" w:rsidP="00B9465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0" w:type="dxa"/>
            <w:gridSpan w:val="2"/>
          </w:tcPr>
          <w:p w14:paraId="14E1D417" w14:textId="77777777" w:rsidR="00690AA7" w:rsidRDefault="00690AA7" w:rsidP="00690AA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6" w:right="45" w:hanging="180"/>
              <w:rPr>
                <w:sz w:val="20"/>
              </w:rPr>
            </w:pPr>
            <w:r>
              <w:rPr>
                <w:sz w:val="20"/>
              </w:rPr>
              <w:t>Communications with donors to clarify likely increase in total funding asks</w:t>
            </w:r>
          </w:p>
          <w:p w14:paraId="5EFB6936" w14:textId="17D6575A" w:rsidR="00690AA7" w:rsidRPr="00690AA7" w:rsidRDefault="00690AA7" w:rsidP="00690AA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6" w:right="45" w:hanging="180"/>
              <w:rPr>
                <w:sz w:val="20"/>
              </w:rPr>
            </w:pPr>
            <w:r w:rsidRPr="00690AA7">
              <w:rPr>
                <w:sz w:val="20"/>
              </w:rPr>
              <w:t>Improve transparency of costing approaches</w:t>
            </w:r>
          </w:p>
        </w:tc>
        <w:tc>
          <w:tcPr>
            <w:tcW w:w="4560" w:type="dxa"/>
          </w:tcPr>
          <w:p w14:paraId="249B593C" w14:textId="7300F26E" w:rsidR="00690AA7" w:rsidRPr="00BC728A" w:rsidRDefault="00690AA7" w:rsidP="00BC728A">
            <w:pPr>
              <w:ind w:left="360" w:right="1786"/>
              <w:rPr>
                <w:sz w:val="20"/>
              </w:rPr>
            </w:pPr>
          </w:p>
        </w:tc>
      </w:tr>
    </w:tbl>
    <w:p w14:paraId="09A09C32" w14:textId="77777777" w:rsidR="00E27450" w:rsidRDefault="00E27450" w:rsidP="00CD0225"/>
    <w:sectPr w:rsidR="00E27450" w:rsidSect="00E86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5746" w14:textId="77777777" w:rsidR="00C676A6" w:rsidRDefault="00C676A6" w:rsidP="00C568D2">
      <w:pPr>
        <w:spacing w:after="0" w:line="240" w:lineRule="auto"/>
      </w:pPr>
      <w:r>
        <w:separator/>
      </w:r>
    </w:p>
  </w:endnote>
  <w:endnote w:type="continuationSeparator" w:id="0">
    <w:p w14:paraId="6F624271" w14:textId="77777777" w:rsidR="00C676A6" w:rsidRDefault="00C676A6" w:rsidP="00C5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B084" w14:textId="77777777" w:rsidR="00C676A6" w:rsidRDefault="00C67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269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47EF2" w14:textId="3244A3AE" w:rsidR="00C676A6" w:rsidRDefault="00C676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0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FAE021" w14:textId="77777777" w:rsidR="00C676A6" w:rsidRDefault="00C676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C88C" w14:textId="77777777" w:rsidR="00C676A6" w:rsidRDefault="00C67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FAAF4" w14:textId="77777777" w:rsidR="00C676A6" w:rsidRDefault="00C676A6" w:rsidP="00C568D2">
      <w:pPr>
        <w:spacing w:after="0" w:line="240" w:lineRule="auto"/>
      </w:pPr>
      <w:r>
        <w:separator/>
      </w:r>
    </w:p>
  </w:footnote>
  <w:footnote w:type="continuationSeparator" w:id="0">
    <w:p w14:paraId="6257F8FE" w14:textId="77777777" w:rsidR="00C676A6" w:rsidRDefault="00C676A6" w:rsidP="00C5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0A50" w14:textId="77777777" w:rsidR="00C676A6" w:rsidRDefault="00C67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7032" w14:textId="77777777" w:rsidR="00C676A6" w:rsidRDefault="00C67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5FEBE" w14:textId="77777777" w:rsidR="00C676A6" w:rsidRDefault="00C67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3F50"/>
    <w:multiLevelType w:val="hybridMultilevel"/>
    <w:tmpl w:val="451A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B67E3"/>
    <w:multiLevelType w:val="hybridMultilevel"/>
    <w:tmpl w:val="61D8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4942"/>
    <w:multiLevelType w:val="hybridMultilevel"/>
    <w:tmpl w:val="6792A22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8730BE4"/>
    <w:multiLevelType w:val="hybridMultilevel"/>
    <w:tmpl w:val="BF16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A709A"/>
    <w:multiLevelType w:val="hybridMultilevel"/>
    <w:tmpl w:val="48BCE2F0"/>
    <w:lvl w:ilvl="0" w:tplc="B44401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AEB8396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97C72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C1A974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B9DEF38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7A06CA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8EFCC1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752EDD3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F5FC5CC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4B9904A4"/>
    <w:multiLevelType w:val="hybridMultilevel"/>
    <w:tmpl w:val="2926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74615"/>
    <w:multiLevelType w:val="hybridMultilevel"/>
    <w:tmpl w:val="AB768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CAFB2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348BB2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E0CB4C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E410B7E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63C85C6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0242EF7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C98214A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149619A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571755AE"/>
    <w:multiLevelType w:val="hybridMultilevel"/>
    <w:tmpl w:val="6D78F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3237F0"/>
    <w:multiLevelType w:val="hybridMultilevel"/>
    <w:tmpl w:val="5E3C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72338"/>
    <w:multiLevelType w:val="hybridMultilevel"/>
    <w:tmpl w:val="F732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155E0"/>
    <w:multiLevelType w:val="hybridMultilevel"/>
    <w:tmpl w:val="5BF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5503D"/>
    <w:multiLevelType w:val="hybridMultilevel"/>
    <w:tmpl w:val="0172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52E25"/>
    <w:multiLevelType w:val="hybridMultilevel"/>
    <w:tmpl w:val="13B203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25"/>
    <w:rsid w:val="00016919"/>
    <w:rsid w:val="000579F5"/>
    <w:rsid w:val="000B212F"/>
    <w:rsid w:val="00166DFC"/>
    <w:rsid w:val="00197C64"/>
    <w:rsid w:val="001B1506"/>
    <w:rsid w:val="001C50F3"/>
    <w:rsid w:val="001D295F"/>
    <w:rsid w:val="001F17CE"/>
    <w:rsid w:val="00276F29"/>
    <w:rsid w:val="0032091F"/>
    <w:rsid w:val="003C5FEE"/>
    <w:rsid w:val="00611F05"/>
    <w:rsid w:val="00690AA7"/>
    <w:rsid w:val="00737E19"/>
    <w:rsid w:val="007507A7"/>
    <w:rsid w:val="0075774F"/>
    <w:rsid w:val="007656A6"/>
    <w:rsid w:val="007F31F8"/>
    <w:rsid w:val="00852982"/>
    <w:rsid w:val="00860C20"/>
    <w:rsid w:val="008738BB"/>
    <w:rsid w:val="008D318C"/>
    <w:rsid w:val="009A4B68"/>
    <w:rsid w:val="00A62828"/>
    <w:rsid w:val="00A93848"/>
    <w:rsid w:val="00AA404A"/>
    <w:rsid w:val="00B07672"/>
    <w:rsid w:val="00B40067"/>
    <w:rsid w:val="00B94656"/>
    <w:rsid w:val="00B95606"/>
    <w:rsid w:val="00BC728A"/>
    <w:rsid w:val="00C568D2"/>
    <w:rsid w:val="00C676A6"/>
    <w:rsid w:val="00C860FD"/>
    <w:rsid w:val="00C93B10"/>
    <w:rsid w:val="00CD0225"/>
    <w:rsid w:val="00CD3D97"/>
    <w:rsid w:val="00D347EC"/>
    <w:rsid w:val="00D95DF8"/>
    <w:rsid w:val="00DF207C"/>
    <w:rsid w:val="00E27450"/>
    <w:rsid w:val="00E52766"/>
    <w:rsid w:val="00E60920"/>
    <w:rsid w:val="00E86D21"/>
    <w:rsid w:val="00F52127"/>
    <w:rsid w:val="00F73A23"/>
    <w:rsid w:val="00F769D0"/>
    <w:rsid w:val="00FB1AA3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66BB"/>
  <w15:chartTrackingRefBased/>
  <w15:docId w15:val="{523727E6-9A06-40B6-928E-C6AB5329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28A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28A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7450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1691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16919"/>
    <w:pPr>
      <w:spacing w:after="100" w:line="256" w:lineRule="auto"/>
      <w:ind w:left="220"/>
    </w:pPr>
  </w:style>
  <w:style w:type="paragraph" w:styleId="ListParagraph">
    <w:name w:val="List Paragraph"/>
    <w:basedOn w:val="Normal"/>
    <w:uiPriority w:val="34"/>
    <w:qFormat/>
    <w:rsid w:val="00016919"/>
    <w:pPr>
      <w:spacing w:after="200" w:line="276" w:lineRule="auto"/>
      <w:ind w:left="720"/>
      <w:contextualSpacing/>
    </w:pPr>
    <w:rPr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919"/>
    <w:pPr>
      <w:spacing w:line="256" w:lineRule="auto"/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B212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2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D2"/>
  </w:style>
  <w:style w:type="paragraph" w:styleId="Footer">
    <w:name w:val="footer"/>
    <w:basedOn w:val="Normal"/>
    <w:link w:val="FooterChar"/>
    <w:uiPriority w:val="99"/>
    <w:unhideWhenUsed/>
    <w:rsid w:val="00C5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D2"/>
  </w:style>
  <w:style w:type="character" w:styleId="CommentReference">
    <w:name w:val="annotation reference"/>
    <w:basedOn w:val="DefaultParagraphFont"/>
    <w:uiPriority w:val="99"/>
    <w:semiHidden/>
    <w:unhideWhenUsed/>
    <w:rsid w:val="00320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9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umanitarianresponse.info/en/programme-cycle/space/document/humanitarian-profile-support-guidan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Alley</dc:creator>
  <cp:keywords/>
  <dc:description/>
  <cp:lastModifiedBy>Kate Alley</cp:lastModifiedBy>
  <cp:revision>7</cp:revision>
  <cp:lastPrinted>2018-07-16T21:35:00Z</cp:lastPrinted>
  <dcterms:created xsi:type="dcterms:W3CDTF">2018-07-16T21:31:00Z</dcterms:created>
  <dcterms:modified xsi:type="dcterms:W3CDTF">2018-07-17T13:59:00Z</dcterms:modified>
</cp:coreProperties>
</file>