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DD" w:rsidRDefault="00047FDD" w:rsidP="00A644D4">
      <w:pPr>
        <w:pBdr>
          <w:top w:val="single" w:sz="4" w:space="0" w:color="000000"/>
          <w:left w:val="single" w:sz="3" w:space="0" w:color="000000"/>
          <w:bottom w:val="single" w:sz="4" w:space="0" w:color="000000"/>
          <w:right w:val="single" w:sz="3" w:space="0" w:color="000000"/>
        </w:pBdr>
        <w:spacing w:after="223" w:line="239" w:lineRule="auto"/>
        <w:ind w:left="882" w:right="55" w:hanging="882"/>
        <w:jc w:val="center"/>
        <w:rPr>
          <w:sz w:val="22"/>
        </w:rPr>
      </w:pPr>
      <w:bookmarkStart w:id="0" w:name="_GoBack"/>
      <w:bookmarkEnd w:id="0"/>
    </w:p>
    <w:p w:rsidR="00E779AF" w:rsidRPr="000D6AB1" w:rsidRDefault="00055DD6" w:rsidP="00C37511">
      <w:pPr>
        <w:pBdr>
          <w:top w:val="single" w:sz="4" w:space="0" w:color="000000"/>
          <w:left w:val="single" w:sz="3" w:space="0" w:color="000000"/>
          <w:bottom w:val="single" w:sz="4" w:space="0" w:color="000000"/>
          <w:right w:val="single" w:sz="3" w:space="0" w:color="000000"/>
        </w:pBdr>
        <w:spacing w:after="223" w:line="239" w:lineRule="auto"/>
        <w:ind w:left="882" w:right="55" w:hanging="882"/>
        <w:jc w:val="center"/>
        <w:rPr>
          <w:sz w:val="22"/>
        </w:rPr>
      </w:pPr>
      <w:r w:rsidRPr="000D6AB1">
        <w:rPr>
          <w:sz w:val="22"/>
        </w:rPr>
        <w:t xml:space="preserve">INTER-AGENCY STANDING COMMITTEE </w:t>
      </w:r>
    </w:p>
    <w:p w:rsidR="00E779AF" w:rsidRPr="000D6AB1" w:rsidRDefault="00055DD6" w:rsidP="00B964BA">
      <w:pPr>
        <w:pBdr>
          <w:top w:val="single" w:sz="4" w:space="0" w:color="000000"/>
          <w:left w:val="single" w:sz="3" w:space="0" w:color="000000"/>
          <w:bottom w:val="single" w:sz="4" w:space="0" w:color="000000"/>
          <w:right w:val="single" w:sz="3" w:space="0" w:color="000000"/>
        </w:pBdr>
        <w:spacing w:after="7" w:line="259" w:lineRule="auto"/>
        <w:ind w:left="0" w:right="55" w:firstLine="0"/>
        <w:jc w:val="center"/>
        <w:rPr>
          <w:i/>
          <w:sz w:val="22"/>
        </w:rPr>
      </w:pPr>
      <w:r w:rsidRPr="000D6AB1">
        <w:rPr>
          <w:b/>
          <w:sz w:val="22"/>
        </w:rPr>
        <w:t xml:space="preserve"> </w:t>
      </w:r>
    </w:p>
    <w:p w:rsidR="00F13EFF" w:rsidRPr="00D920E6" w:rsidRDefault="00F13EFF" w:rsidP="003F47BC">
      <w:pPr>
        <w:pBdr>
          <w:top w:val="single" w:sz="4" w:space="0" w:color="000000"/>
          <w:left w:val="single" w:sz="3" w:space="0" w:color="000000"/>
          <w:bottom w:val="single" w:sz="4" w:space="0" w:color="000000"/>
          <w:right w:val="single" w:sz="3" w:space="0" w:color="000000"/>
        </w:pBdr>
        <w:spacing w:after="0" w:line="259" w:lineRule="auto"/>
        <w:ind w:left="0" w:right="55" w:firstLine="0"/>
        <w:jc w:val="center"/>
        <w:rPr>
          <w:b/>
          <w:sz w:val="32"/>
          <w:szCs w:val="32"/>
        </w:rPr>
      </w:pPr>
      <w:r w:rsidRPr="00F13EFF">
        <w:rPr>
          <w:b/>
          <w:sz w:val="32"/>
          <w:szCs w:val="32"/>
        </w:rPr>
        <w:t xml:space="preserve">Opportunities to </w:t>
      </w:r>
      <w:r>
        <w:rPr>
          <w:b/>
          <w:sz w:val="32"/>
          <w:szCs w:val="32"/>
        </w:rPr>
        <w:t>i</w:t>
      </w:r>
      <w:r w:rsidRPr="00B81D14">
        <w:rPr>
          <w:b/>
          <w:sz w:val="32"/>
          <w:szCs w:val="32"/>
        </w:rPr>
        <w:t xml:space="preserve">mprove </w:t>
      </w:r>
      <w:r>
        <w:rPr>
          <w:b/>
          <w:sz w:val="32"/>
          <w:szCs w:val="32"/>
        </w:rPr>
        <w:t xml:space="preserve">the </w:t>
      </w:r>
      <w:r w:rsidRPr="00B81D14">
        <w:rPr>
          <w:b/>
          <w:sz w:val="32"/>
          <w:szCs w:val="32"/>
        </w:rPr>
        <w:t>costing of H</w:t>
      </w:r>
      <w:r>
        <w:rPr>
          <w:b/>
          <w:sz w:val="32"/>
          <w:szCs w:val="32"/>
        </w:rPr>
        <w:t>umanitarian Response Plans</w:t>
      </w:r>
      <w:r w:rsidRPr="00D920E6" w:rsidDel="00F13EFF">
        <w:rPr>
          <w:b/>
          <w:sz w:val="32"/>
          <w:szCs w:val="32"/>
        </w:rPr>
        <w:t xml:space="preserve"> </w:t>
      </w:r>
      <w:r w:rsidRPr="00D920E6">
        <w:rPr>
          <w:b/>
          <w:sz w:val="32"/>
          <w:szCs w:val="32"/>
        </w:rPr>
        <w:t>(HRPs)</w:t>
      </w:r>
    </w:p>
    <w:p w:rsidR="007D7203" w:rsidRDefault="00F13EFF" w:rsidP="00F13EFF">
      <w:pPr>
        <w:pBdr>
          <w:top w:val="single" w:sz="4" w:space="0" w:color="000000"/>
          <w:left w:val="single" w:sz="3" w:space="0" w:color="000000"/>
          <w:bottom w:val="single" w:sz="4" w:space="0" w:color="000000"/>
          <w:right w:val="single" w:sz="3" w:space="0" w:color="000000"/>
        </w:pBdr>
        <w:spacing w:after="0" w:line="259" w:lineRule="auto"/>
        <w:ind w:right="55"/>
        <w:jc w:val="center"/>
        <w:rPr>
          <w:sz w:val="22"/>
        </w:rPr>
      </w:pPr>
      <w:r w:rsidDel="00F13EFF">
        <w:rPr>
          <w:rStyle w:val="CommentReference"/>
        </w:rPr>
        <w:t xml:space="preserve"> </w:t>
      </w:r>
    </w:p>
    <w:p w:rsidR="00E779AF" w:rsidRPr="000D6AB1" w:rsidRDefault="00B964BA" w:rsidP="000B15A6">
      <w:pPr>
        <w:pBdr>
          <w:top w:val="single" w:sz="4" w:space="0" w:color="000000"/>
          <w:left w:val="single" w:sz="3" w:space="0" w:color="000000"/>
          <w:bottom w:val="single" w:sz="4" w:space="0" w:color="000000"/>
          <w:right w:val="single" w:sz="3" w:space="0" w:color="000000"/>
        </w:pBdr>
        <w:spacing w:after="0" w:line="259" w:lineRule="auto"/>
        <w:ind w:right="55"/>
        <w:jc w:val="center"/>
        <w:rPr>
          <w:sz w:val="22"/>
        </w:rPr>
      </w:pPr>
      <w:r>
        <w:rPr>
          <w:sz w:val="22"/>
        </w:rPr>
        <w:t>18 July</w:t>
      </w:r>
      <w:r w:rsidR="0024099D">
        <w:rPr>
          <w:sz w:val="22"/>
        </w:rPr>
        <w:t xml:space="preserve"> 2017</w:t>
      </w:r>
      <w:r w:rsidR="00055DD6" w:rsidRPr="000D6AB1">
        <w:rPr>
          <w:sz w:val="22"/>
        </w:rPr>
        <w:t xml:space="preserve"> </w:t>
      </w:r>
    </w:p>
    <w:p w:rsidR="00E779AF" w:rsidRPr="000D6AB1" w:rsidRDefault="00067AFB" w:rsidP="00F13EFF">
      <w:pPr>
        <w:pBdr>
          <w:top w:val="single" w:sz="4" w:space="0" w:color="000000"/>
          <w:left w:val="single" w:sz="3" w:space="0" w:color="000000"/>
          <w:bottom w:val="single" w:sz="4" w:space="0" w:color="000000"/>
          <w:right w:val="single" w:sz="3" w:space="0" w:color="000000"/>
        </w:pBdr>
        <w:spacing w:after="0" w:line="259" w:lineRule="auto"/>
        <w:ind w:right="55"/>
        <w:jc w:val="center"/>
        <w:rPr>
          <w:sz w:val="22"/>
        </w:rPr>
      </w:pPr>
      <w:r>
        <w:rPr>
          <w:sz w:val="22"/>
        </w:rPr>
        <w:t>Geneva</w:t>
      </w:r>
      <w:r w:rsidR="00055DD6" w:rsidRPr="000D6AB1">
        <w:rPr>
          <w:sz w:val="22"/>
        </w:rPr>
        <w:t xml:space="preserve"> </w:t>
      </w:r>
    </w:p>
    <w:p w:rsidR="00E779AF" w:rsidRPr="000D6AB1" w:rsidRDefault="00055DD6" w:rsidP="00B964BA">
      <w:pPr>
        <w:pBdr>
          <w:top w:val="single" w:sz="4" w:space="0" w:color="000000"/>
          <w:left w:val="single" w:sz="3" w:space="0" w:color="000000"/>
          <w:bottom w:val="single" w:sz="4" w:space="0" w:color="000000"/>
          <w:right w:val="single" w:sz="3" w:space="0" w:color="000000"/>
        </w:pBdr>
        <w:spacing w:after="0" w:line="259" w:lineRule="auto"/>
        <w:ind w:left="0" w:right="55" w:firstLine="0"/>
        <w:jc w:val="center"/>
        <w:rPr>
          <w:sz w:val="22"/>
        </w:rPr>
      </w:pPr>
      <w:r w:rsidRPr="000D6AB1">
        <w:rPr>
          <w:sz w:val="22"/>
        </w:rPr>
        <w:t xml:space="preserve"> </w:t>
      </w:r>
      <w:r w:rsidR="00917B44" w:rsidRPr="000D6AB1">
        <w:rPr>
          <w:i/>
          <w:sz w:val="22"/>
        </w:rPr>
        <w:t xml:space="preserve">Circulated xx </w:t>
      </w:r>
      <w:r w:rsidR="0024099D">
        <w:rPr>
          <w:i/>
          <w:sz w:val="22"/>
        </w:rPr>
        <w:t>Ju</w:t>
      </w:r>
      <w:r w:rsidR="00356136">
        <w:rPr>
          <w:i/>
          <w:sz w:val="22"/>
        </w:rPr>
        <w:t>ly</w:t>
      </w:r>
      <w:r w:rsidR="0024099D">
        <w:rPr>
          <w:i/>
          <w:sz w:val="22"/>
        </w:rPr>
        <w:t xml:space="preserve"> 2017</w:t>
      </w:r>
      <w:r w:rsidRPr="000D6AB1">
        <w:rPr>
          <w:i/>
          <w:sz w:val="22"/>
        </w:rPr>
        <w:t xml:space="preserve"> </w:t>
      </w:r>
    </w:p>
    <w:p w:rsidR="007D7203" w:rsidRPr="00D920E6" w:rsidRDefault="007D7203" w:rsidP="007D7203">
      <w:pPr>
        <w:rPr>
          <w:b/>
          <w:bCs/>
          <w:sz w:val="28"/>
          <w:szCs w:val="28"/>
        </w:rPr>
      </w:pPr>
      <w:r w:rsidRPr="00D920E6">
        <w:rPr>
          <w:b/>
          <w:bCs/>
          <w:sz w:val="28"/>
          <w:szCs w:val="28"/>
        </w:rPr>
        <w:t>I</w:t>
      </w:r>
      <w:r w:rsidRPr="00D920E6">
        <w:rPr>
          <w:b/>
          <w:bCs/>
          <w:sz w:val="28"/>
          <w:szCs w:val="28"/>
        </w:rPr>
        <w:tab/>
        <w:t>Background</w:t>
      </w:r>
    </w:p>
    <w:p w:rsidR="0008658E" w:rsidRPr="00AA4DD3" w:rsidRDefault="0008658E" w:rsidP="0008658E">
      <w:pPr>
        <w:pStyle w:val="BodyA"/>
        <w:tabs>
          <w:tab w:val="left" w:pos="567"/>
          <w:tab w:val="left" w:pos="992"/>
        </w:tabs>
        <w:spacing w:after="240"/>
        <w:jc w:val="both"/>
        <w:rPr>
          <w:rFonts w:ascii="Times New Roman" w:hAnsi="Times New Roman" w:cs="Times New Roman"/>
          <w:b/>
          <w:bCs/>
          <w:color w:val="000000" w:themeColor="text1"/>
          <w:sz w:val="24"/>
          <w:szCs w:val="24"/>
          <w:u w:color="1F497D"/>
        </w:rPr>
      </w:pPr>
      <w:r>
        <w:rPr>
          <w:rFonts w:ascii="Times New Roman" w:hAnsi="Times New Roman" w:cs="Times New Roman"/>
          <w:color w:val="000000" w:themeColor="text1"/>
          <w:sz w:val="24"/>
          <w:szCs w:val="24"/>
          <w:u w:color="1F497D"/>
        </w:rPr>
        <w:t xml:space="preserve">In December 2016, </w:t>
      </w:r>
      <w:r w:rsidR="001D1FD9">
        <w:rPr>
          <w:rFonts w:ascii="Times New Roman" w:hAnsi="Times New Roman" w:cs="Times New Roman"/>
          <w:b/>
          <w:bCs/>
          <w:color w:val="000000" w:themeColor="text1"/>
          <w:sz w:val="24"/>
          <w:szCs w:val="24"/>
          <w:u w:color="1F497D"/>
        </w:rPr>
        <w:t>t</w:t>
      </w:r>
      <w:r>
        <w:rPr>
          <w:rFonts w:ascii="Times New Roman" w:hAnsi="Times New Roman" w:cs="Times New Roman"/>
          <w:b/>
          <w:bCs/>
          <w:color w:val="000000" w:themeColor="text1"/>
          <w:sz w:val="24"/>
          <w:szCs w:val="24"/>
          <w:u w:color="1F497D"/>
        </w:rPr>
        <w:t xml:space="preserve">he IASC </w:t>
      </w:r>
      <w:r w:rsidRPr="00AA4DD3">
        <w:rPr>
          <w:rFonts w:ascii="Times New Roman" w:hAnsi="Times New Roman" w:cs="Times New Roman"/>
          <w:b/>
          <w:bCs/>
          <w:color w:val="000000" w:themeColor="text1"/>
          <w:sz w:val="24"/>
          <w:szCs w:val="24"/>
          <w:u w:color="1F497D"/>
        </w:rPr>
        <w:t>Principals agreed:</w:t>
      </w:r>
    </w:p>
    <w:p w:rsidR="0008658E" w:rsidRPr="00AC61AB" w:rsidRDefault="0008658E" w:rsidP="0008658E">
      <w:pPr>
        <w:pStyle w:val="BodyA"/>
        <w:numPr>
          <w:ilvl w:val="0"/>
          <w:numId w:val="23"/>
        </w:numPr>
        <w:tabs>
          <w:tab w:val="left" w:pos="567"/>
          <w:tab w:val="left" w:pos="992"/>
        </w:tabs>
        <w:spacing w:after="240"/>
        <w:jc w:val="both"/>
        <w:rPr>
          <w:rFonts w:ascii="Times New Roman" w:hAnsi="Times New Roman" w:cs="Times New Roman"/>
          <w:b/>
          <w:bCs/>
          <w:i/>
          <w:iCs/>
          <w:color w:val="auto"/>
          <w:sz w:val="24"/>
          <w:szCs w:val="24"/>
          <w:u w:color="1F497D"/>
        </w:rPr>
      </w:pPr>
      <w:r w:rsidRPr="00AC61AB">
        <w:rPr>
          <w:rFonts w:ascii="Times New Roman" w:hAnsi="Times New Roman" w:cs="Times New Roman"/>
          <w:i/>
          <w:iCs/>
          <w:color w:val="auto"/>
          <w:sz w:val="24"/>
          <w:szCs w:val="24"/>
          <w:u w:color="1F497D"/>
        </w:rPr>
        <w:t xml:space="preserve">That the IASC Costing Sub-Group should continue its work, under the direction of the Principals, but with expanded </w:t>
      </w:r>
      <w:r>
        <w:rPr>
          <w:rFonts w:ascii="Times New Roman" w:hAnsi="Times New Roman" w:cs="Times New Roman"/>
          <w:i/>
          <w:iCs/>
          <w:color w:val="auto"/>
          <w:sz w:val="24"/>
          <w:szCs w:val="24"/>
          <w:u w:color="1F497D"/>
        </w:rPr>
        <w:t xml:space="preserve">expert </w:t>
      </w:r>
      <w:r w:rsidRPr="00AC61AB">
        <w:rPr>
          <w:rFonts w:ascii="Times New Roman" w:hAnsi="Times New Roman" w:cs="Times New Roman"/>
          <w:i/>
          <w:iCs/>
          <w:color w:val="auto"/>
          <w:sz w:val="24"/>
          <w:szCs w:val="24"/>
          <w:u w:color="1F497D"/>
        </w:rPr>
        <w:t>participation</w:t>
      </w:r>
      <w:r>
        <w:rPr>
          <w:rFonts w:ascii="Times New Roman" w:hAnsi="Times New Roman" w:cs="Times New Roman"/>
          <w:i/>
          <w:iCs/>
          <w:color w:val="auto"/>
          <w:sz w:val="24"/>
          <w:szCs w:val="24"/>
          <w:u w:color="1F497D"/>
        </w:rPr>
        <w:t xml:space="preserve"> (as noted in the Roadmap) to include budget/finance experts as well as staff with hands-on experience of developing response plans at the country level</w:t>
      </w:r>
      <w:r w:rsidRPr="00AC61AB">
        <w:rPr>
          <w:rFonts w:ascii="Times New Roman" w:hAnsi="Times New Roman" w:cs="Times New Roman"/>
          <w:i/>
          <w:iCs/>
          <w:color w:val="auto"/>
          <w:sz w:val="24"/>
          <w:szCs w:val="24"/>
          <w:u w:color="1F497D"/>
        </w:rPr>
        <w:t xml:space="preserve">. </w:t>
      </w:r>
      <w:r w:rsidRPr="00AC61AB">
        <w:rPr>
          <w:rFonts w:ascii="Times New Roman" w:hAnsi="Times New Roman" w:cs="Times New Roman"/>
          <w:b/>
          <w:bCs/>
          <w:i/>
          <w:iCs/>
          <w:color w:val="auto"/>
          <w:sz w:val="24"/>
          <w:szCs w:val="24"/>
          <w:u w:color="1F497D"/>
        </w:rPr>
        <w:t>Action by:</w:t>
      </w:r>
      <w:r w:rsidRPr="00AC61AB">
        <w:rPr>
          <w:rFonts w:ascii="Times New Roman" w:hAnsi="Times New Roman" w:cs="Times New Roman"/>
          <w:i/>
          <w:iCs/>
          <w:color w:val="auto"/>
          <w:sz w:val="24"/>
          <w:szCs w:val="24"/>
          <w:u w:color="1F497D"/>
        </w:rPr>
        <w:t xml:space="preserve"> </w:t>
      </w:r>
      <w:r w:rsidRPr="00AC61AB">
        <w:rPr>
          <w:rFonts w:ascii="Times New Roman" w:hAnsi="Times New Roman" w:cs="Times New Roman"/>
          <w:b/>
          <w:bCs/>
          <w:i/>
          <w:iCs/>
          <w:color w:val="auto"/>
          <w:sz w:val="24"/>
          <w:szCs w:val="24"/>
          <w:u w:color="1F497D"/>
        </w:rPr>
        <w:t>the IASC Costing Sub-Group, until end June 2017.</w:t>
      </w:r>
    </w:p>
    <w:p w:rsidR="0008658E" w:rsidRPr="0008658E" w:rsidRDefault="0008658E" w:rsidP="0008658E">
      <w:pPr>
        <w:pStyle w:val="BodyA"/>
        <w:numPr>
          <w:ilvl w:val="0"/>
          <w:numId w:val="23"/>
        </w:numPr>
        <w:tabs>
          <w:tab w:val="left" w:pos="567"/>
          <w:tab w:val="left" w:pos="992"/>
        </w:tabs>
        <w:spacing w:after="240"/>
        <w:jc w:val="both"/>
        <w:rPr>
          <w:rFonts w:ascii="Times New Roman" w:hAnsi="Times New Roman" w:cs="Times New Roman"/>
          <w:b/>
          <w:bCs/>
          <w:i/>
          <w:iCs/>
          <w:color w:val="auto"/>
          <w:sz w:val="24"/>
          <w:szCs w:val="24"/>
          <w:u w:color="1F497D"/>
        </w:rPr>
      </w:pPr>
      <w:r w:rsidRPr="00AC61AB">
        <w:rPr>
          <w:rFonts w:ascii="Times New Roman" w:hAnsi="Times New Roman" w:cs="Times New Roman"/>
          <w:i/>
          <w:iCs/>
          <w:color w:val="auto"/>
          <w:sz w:val="24"/>
          <w:szCs w:val="24"/>
          <w:u w:color="1F497D"/>
        </w:rPr>
        <w:t xml:space="preserve">That the IASC Costing </w:t>
      </w:r>
      <w:r w:rsidRPr="00052BB4">
        <w:rPr>
          <w:rFonts w:ascii="Times New Roman" w:hAnsi="Times New Roman" w:cs="Times New Roman"/>
          <w:i/>
          <w:iCs/>
          <w:color w:val="auto"/>
          <w:sz w:val="24"/>
          <w:szCs w:val="24"/>
          <w:u w:color="1F497D"/>
        </w:rPr>
        <w:t xml:space="preserve">Sub-Group explores </w:t>
      </w:r>
      <w:r w:rsidRPr="00731FD3">
        <w:rPr>
          <w:rFonts w:ascii="Times New Roman" w:hAnsi="Times New Roman"/>
          <w:i/>
          <w:color w:val="auto"/>
          <w:sz w:val="24"/>
          <w:u w:color="1F497D"/>
        </w:rPr>
        <w:t>future options for a light, incremental approach, building on field analysis and lessons learned from current and previous costing approaches,</w:t>
      </w:r>
      <w:r w:rsidRPr="00052BB4">
        <w:rPr>
          <w:rFonts w:ascii="Times New Roman" w:hAnsi="Times New Roman" w:cs="Times New Roman"/>
          <w:i/>
          <w:iCs/>
          <w:color w:val="auto"/>
          <w:sz w:val="24"/>
          <w:szCs w:val="24"/>
          <w:u w:color="1F497D"/>
        </w:rPr>
        <w:t xml:space="preserve"> and testing</w:t>
      </w:r>
      <w:r w:rsidRPr="00AC61AB">
        <w:rPr>
          <w:rFonts w:ascii="Times New Roman" w:hAnsi="Times New Roman" w:cs="Times New Roman"/>
          <w:i/>
          <w:iCs/>
          <w:color w:val="auto"/>
          <w:sz w:val="24"/>
          <w:szCs w:val="24"/>
          <w:u w:color="1F497D"/>
        </w:rPr>
        <w:t xml:space="preserve"> </w:t>
      </w:r>
      <w:r>
        <w:rPr>
          <w:rFonts w:ascii="Times New Roman" w:hAnsi="Times New Roman" w:cs="Times New Roman"/>
          <w:i/>
          <w:iCs/>
          <w:color w:val="auto"/>
          <w:sz w:val="24"/>
          <w:szCs w:val="24"/>
          <w:u w:color="1F497D"/>
        </w:rPr>
        <w:t xml:space="preserve">of different </w:t>
      </w:r>
      <w:r w:rsidRPr="00AC61AB">
        <w:rPr>
          <w:rFonts w:ascii="Times New Roman" w:hAnsi="Times New Roman" w:cs="Times New Roman"/>
          <w:i/>
          <w:iCs/>
          <w:color w:val="auto"/>
          <w:sz w:val="24"/>
          <w:szCs w:val="24"/>
          <w:u w:color="1F497D"/>
        </w:rPr>
        <w:t>methodologies</w:t>
      </w:r>
      <w:r>
        <w:rPr>
          <w:rFonts w:ascii="Times New Roman" w:hAnsi="Times New Roman" w:cs="Times New Roman"/>
          <w:i/>
          <w:iCs/>
          <w:color w:val="auto"/>
          <w:sz w:val="24"/>
          <w:szCs w:val="24"/>
          <w:u w:color="1F497D"/>
        </w:rPr>
        <w:t xml:space="preserve"> initially</w:t>
      </w:r>
      <w:r w:rsidRPr="00AC61AB">
        <w:rPr>
          <w:rFonts w:ascii="Times New Roman" w:hAnsi="Times New Roman" w:cs="Times New Roman"/>
          <w:i/>
          <w:iCs/>
          <w:color w:val="auto"/>
          <w:sz w:val="24"/>
          <w:szCs w:val="24"/>
          <w:u w:color="1F497D"/>
        </w:rPr>
        <w:t xml:space="preserve"> through a table-top simulation exercise. </w:t>
      </w:r>
      <w:r w:rsidRPr="00AC61AB">
        <w:rPr>
          <w:rFonts w:ascii="Times New Roman" w:hAnsi="Times New Roman" w:cs="Times New Roman"/>
          <w:b/>
          <w:bCs/>
          <w:i/>
          <w:iCs/>
          <w:color w:val="auto"/>
          <w:sz w:val="24"/>
          <w:szCs w:val="24"/>
          <w:u w:color="1F497D"/>
        </w:rPr>
        <w:t>Action by:</w:t>
      </w:r>
      <w:r w:rsidRPr="00AC61AB">
        <w:rPr>
          <w:rFonts w:ascii="Times New Roman" w:hAnsi="Times New Roman" w:cs="Times New Roman"/>
          <w:i/>
          <w:iCs/>
          <w:color w:val="auto"/>
          <w:sz w:val="24"/>
          <w:szCs w:val="24"/>
          <w:u w:color="1F497D"/>
        </w:rPr>
        <w:t xml:space="preserve"> </w:t>
      </w:r>
      <w:r w:rsidRPr="00AC61AB">
        <w:rPr>
          <w:rFonts w:ascii="Times New Roman" w:hAnsi="Times New Roman" w:cs="Times New Roman"/>
          <w:b/>
          <w:bCs/>
          <w:i/>
          <w:iCs/>
          <w:color w:val="auto"/>
          <w:sz w:val="24"/>
          <w:szCs w:val="24"/>
          <w:u w:color="1F497D"/>
        </w:rPr>
        <w:t xml:space="preserve">the IASC Costing Sub-Group by end June 2017. </w:t>
      </w:r>
    </w:p>
    <w:p w:rsidR="0008658E" w:rsidRDefault="0008658E" w:rsidP="0008658E">
      <w:pPr>
        <w:rPr>
          <w:sz w:val="22"/>
        </w:rPr>
      </w:pPr>
      <w:r>
        <w:rPr>
          <w:sz w:val="22"/>
        </w:rPr>
        <w:t xml:space="preserve">Following this decision, the group’s participation expanded to include experts from </w:t>
      </w:r>
      <w:r w:rsidRPr="0008658E">
        <w:rPr>
          <w:sz w:val="22"/>
        </w:rPr>
        <w:t>FAO</w:t>
      </w:r>
      <w:r>
        <w:rPr>
          <w:sz w:val="22"/>
        </w:rPr>
        <w:t xml:space="preserve">, </w:t>
      </w:r>
      <w:r w:rsidRPr="0008658E">
        <w:rPr>
          <w:sz w:val="22"/>
        </w:rPr>
        <w:t>ICVA</w:t>
      </w:r>
      <w:r>
        <w:rPr>
          <w:sz w:val="22"/>
        </w:rPr>
        <w:t xml:space="preserve">, </w:t>
      </w:r>
      <w:r w:rsidRPr="0008658E">
        <w:rPr>
          <w:sz w:val="22"/>
        </w:rPr>
        <w:t>IRC</w:t>
      </w:r>
      <w:r>
        <w:rPr>
          <w:sz w:val="22"/>
        </w:rPr>
        <w:t xml:space="preserve">, </w:t>
      </w:r>
      <w:r w:rsidRPr="0008658E">
        <w:rPr>
          <w:sz w:val="22"/>
        </w:rPr>
        <w:t>UNHCR</w:t>
      </w:r>
      <w:r>
        <w:rPr>
          <w:sz w:val="22"/>
        </w:rPr>
        <w:t>,</w:t>
      </w:r>
      <w:r w:rsidRPr="0008658E">
        <w:rPr>
          <w:sz w:val="22"/>
        </w:rPr>
        <w:t xml:space="preserve"> UNICEF</w:t>
      </w:r>
      <w:r>
        <w:rPr>
          <w:sz w:val="22"/>
        </w:rPr>
        <w:t xml:space="preserve">, </w:t>
      </w:r>
      <w:r w:rsidRPr="0008658E">
        <w:rPr>
          <w:sz w:val="22"/>
        </w:rPr>
        <w:t>WFP</w:t>
      </w:r>
      <w:r>
        <w:rPr>
          <w:sz w:val="22"/>
        </w:rPr>
        <w:t>,</w:t>
      </w:r>
      <w:r w:rsidRPr="0008658E">
        <w:rPr>
          <w:sz w:val="22"/>
        </w:rPr>
        <w:t xml:space="preserve"> WHO</w:t>
      </w:r>
      <w:r>
        <w:rPr>
          <w:sz w:val="22"/>
        </w:rPr>
        <w:t>, the</w:t>
      </w:r>
      <w:r w:rsidRPr="0008658E">
        <w:rPr>
          <w:sz w:val="22"/>
        </w:rPr>
        <w:t xml:space="preserve"> </w:t>
      </w:r>
      <w:r>
        <w:rPr>
          <w:sz w:val="22"/>
        </w:rPr>
        <w:t xml:space="preserve">Global Food Security Cluster, and the Global Protection Cluster. The </w:t>
      </w:r>
      <w:r w:rsidR="005E0238">
        <w:rPr>
          <w:sz w:val="22"/>
        </w:rPr>
        <w:t>G</w:t>
      </w:r>
      <w:r>
        <w:rPr>
          <w:sz w:val="22"/>
        </w:rPr>
        <w:t>roup’s work was facilitated by OCHA.</w:t>
      </w:r>
    </w:p>
    <w:p w:rsidR="0008658E" w:rsidRDefault="0008658E" w:rsidP="00661554">
      <w:pPr>
        <w:rPr>
          <w:sz w:val="22"/>
        </w:rPr>
      </w:pPr>
      <w:r>
        <w:rPr>
          <w:sz w:val="22"/>
        </w:rPr>
        <w:t xml:space="preserve">The group </w:t>
      </w:r>
      <w:r w:rsidR="004054EC">
        <w:rPr>
          <w:sz w:val="22"/>
        </w:rPr>
        <w:t>reviewed</w:t>
      </w:r>
      <w:r>
        <w:rPr>
          <w:sz w:val="22"/>
        </w:rPr>
        <w:t xml:space="preserve"> costing methodologies in country teams with an HRP or a similar product. </w:t>
      </w:r>
      <w:r w:rsidR="001D1FD9">
        <w:rPr>
          <w:sz w:val="22"/>
        </w:rPr>
        <w:t>It held focus-group discussions on costing in five countries. The CAR, DRC, Ethiopia (not formally a HRP, but uses similar process), Mali, and Niger were selected, in order to have a choice of different methodologies reviewed. ICVA also partnered with ACBAR</w:t>
      </w:r>
      <w:r w:rsidR="00661554">
        <w:rPr>
          <w:rStyle w:val="FootnoteReference"/>
          <w:sz w:val="22"/>
        </w:rPr>
        <w:footnoteReference w:id="2"/>
      </w:r>
      <w:r w:rsidR="00661554">
        <w:rPr>
          <w:sz w:val="22"/>
        </w:rPr>
        <w:t xml:space="preserve"> </w:t>
      </w:r>
      <w:r w:rsidR="001D1FD9">
        <w:rPr>
          <w:sz w:val="22"/>
        </w:rPr>
        <w:t xml:space="preserve">to conduct a review with an NGO perspective of costing in Afghanistan.  </w:t>
      </w:r>
    </w:p>
    <w:p w:rsidR="004054EC" w:rsidRDefault="004054EC" w:rsidP="004054EC">
      <w:pPr>
        <w:pStyle w:val="Heading2"/>
      </w:pPr>
      <w:r>
        <w:t>Costing methodology in 2017 HRPs or similar</w:t>
      </w:r>
    </w:p>
    <w:p w:rsidR="00FA0457" w:rsidRDefault="00EF36E7" w:rsidP="00FA0457">
      <w:r>
        <w:t>Project</w:t>
      </w:r>
      <w:r w:rsidR="00A13347">
        <w:t>-</w:t>
      </w:r>
      <w:r>
        <w:t>based costing</w:t>
      </w:r>
      <w:r w:rsidR="00A13347">
        <w:t xml:space="preserve"> (PBC)</w:t>
      </w:r>
      <w:r w:rsidR="001D1FD9">
        <w:t xml:space="preserve"> is used in</w:t>
      </w:r>
      <w:r w:rsidR="004F2D0C">
        <w:t>:</w:t>
      </w:r>
      <w:r>
        <w:t xml:space="preserve"> Colombia (no registration on OPS), Cameroon, Chad, Djibouti, Haiti, Iraq, Libya, Mali, Niger, Nigeria, oPt, Pakistan, South Sudan, Sudan, Syria, Ukraine, and Yemen</w:t>
      </w:r>
      <w:r w:rsidR="004F2D0C">
        <w:t xml:space="preserve"> (shifted back to PBC in 2017)</w:t>
      </w:r>
      <w:r>
        <w:t>.</w:t>
      </w:r>
    </w:p>
    <w:p w:rsidR="00EF36E7" w:rsidRDefault="003B71B0" w:rsidP="00FA0457">
      <w:r>
        <w:t>Unit</w:t>
      </w:r>
      <w:r>
        <w:rPr>
          <w:rStyle w:val="FootnoteReference"/>
        </w:rPr>
        <w:footnoteReference w:id="3"/>
      </w:r>
      <w:r w:rsidR="00A13347">
        <w:t>-</w:t>
      </w:r>
      <w:r w:rsidR="00EF36E7">
        <w:t>based costing</w:t>
      </w:r>
      <w:r w:rsidR="001D1FD9">
        <w:t xml:space="preserve"> is used in</w:t>
      </w:r>
      <w:r w:rsidR="00EF36E7">
        <w:t xml:space="preserve"> Afghanistan, DRC, Ethiopia, Mozambique, and Myanmar.</w:t>
      </w:r>
    </w:p>
    <w:p w:rsidR="001D1FD9" w:rsidRDefault="001D1FD9" w:rsidP="001D1FD9">
      <w:pPr>
        <w:rPr>
          <w:sz w:val="22"/>
        </w:rPr>
      </w:pPr>
      <w:r>
        <w:lastRenderedPageBreak/>
        <w:t>Both u</w:t>
      </w:r>
      <w:r w:rsidR="003B71B0">
        <w:t>nit</w:t>
      </w:r>
      <w:r w:rsidR="00A13347">
        <w:t>-</w:t>
      </w:r>
      <w:r w:rsidR="003B71B0">
        <w:t>based</w:t>
      </w:r>
      <w:r w:rsidR="00EF36E7">
        <w:t xml:space="preserve"> </w:t>
      </w:r>
      <w:r>
        <w:t>and</w:t>
      </w:r>
      <w:r w:rsidR="00EF36E7">
        <w:t xml:space="preserve"> project</w:t>
      </w:r>
      <w:r w:rsidR="00A13347">
        <w:t>-</w:t>
      </w:r>
      <w:r>
        <w:t>based costing are used in</w:t>
      </w:r>
      <w:r w:rsidR="00EF36E7">
        <w:t xml:space="preserve"> CAR, Burundi (marketplace), </w:t>
      </w:r>
      <w:r w:rsidR="003B71B0">
        <w:t>and Somalia</w:t>
      </w:r>
      <w:r w:rsidR="00EF36E7">
        <w:t xml:space="preserve"> (projects + clusters estimates for famine</w:t>
      </w:r>
      <w:r w:rsidR="004F2D0C">
        <w:t>, later replaced by projects</w:t>
      </w:r>
      <w:r w:rsidR="00EF36E7">
        <w:t>).</w:t>
      </w:r>
      <w:r w:rsidRPr="001D1FD9">
        <w:rPr>
          <w:sz w:val="22"/>
        </w:rPr>
        <w:t xml:space="preserve"> </w:t>
      </w:r>
    </w:p>
    <w:p w:rsidR="001D1FD9" w:rsidRDefault="001D1FD9" w:rsidP="001D1FD9">
      <w:pPr>
        <w:rPr>
          <w:sz w:val="22"/>
        </w:rPr>
      </w:pPr>
      <w:r>
        <w:rPr>
          <w:sz w:val="22"/>
        </w:rPr>
        <w:t>Some country teams have been applying unit-based costing for several years now, though approaches vary across and within country cases and often are not fully documented in terms of how unit</w:t>
      </w:r>
      <w:r w:rsidR="005E0238">
        <w:rPr>
          <w:sz w:val="22"/>
        </w:rPr>
        <w:t xml:space="preserve"> </w:t>
      </w:r>
      <w:r>
        <w:rPr>
          <w:sz w:val="22"/>
        </w:rPr>
        <w:t xml:space="preserve">costs are determined.   This is true also for the details of project-based costing.  </w:t>
      </w:r>
    </w:p>
    <w:p w:rsidR="008253D9" w:rsidRPr="00D920E6" w:rsidRDefault="007D7203" w:rsidP="004054EC">
      <w:pPr>
        <w:rPr>
          <w:b/>
          <w:bCs/>
          <w:sz w:val="28"/>
          <w:szCs w:val="28"/>
        </w:rPr>
      </w:pPr>
      <w:r w:rsidRPr="00D920E6">
        <w:rPr>
          <w:b/>
          <w:bCs/>
          <w:sz w:val="28"/>
          <w:szCs w:val="28"/>
        </w:rPr>
        <w:t>II</w:t>
      </w:r>
      <w:r w:rsidRPr="00D920E6">
        <w:rPr>
          <w:b/>
          <w:bCs/>
          <w:sz w:val="28"/>
          <w:szCs w:val="28"/>
        </w:rPr>
        <w:tab/>
      </w:r>
      <w:r w:rsidR="008253D9" w:rsidRPr="00D920E6">
        <w:rPr>
          <w:b/>
          <w:bCs/>
          <w:sz w:val="28"/>
          <w:szCs w:val="28"/>
        </w:rPr>
        <w:t>Findings</w:t>
      </w:r>
    </w:p>
    <w:p w:rsidR="00240095" w:rsidRDefault="004054EC" w:rsidP="00356136">
      <w:pPr>
        <w:rPr>
          <w:sz w:val="22"/>
        </w:rPr>
      </w:pPr>
      <w:r>
        <w:rPr>
          <w:sz w:val="22"/>
        </w:rPr>
        <w:t xml:space="preserve">In general, the Costing Group found that </w:t>
      </w:r>
      <w:r w:rsidR="00356136">
        <w:rPr>
          <w:sz w:val="22"/>
        </w:rPr>
        <w:t xml:space="preserve">the interviewed </w:t>
      </w:r>
      <w:r>
        <w:rPr>
          <w:sz w:val="22"/>
        </w:rPr>
        <w:t xml:space="preserve">country teams are satisfied with the methodology they have chosen, </w:t>
      </w:r>
      <w:r w:rsidR="00240095">
        <w:rPr>
          <w:sz w:val="22"/>
        </w:rPr>
        <w:t>whether unit or project based</w:t>
      </w:r>
      <w:r w:rsidR="000B15A6">
        <w:rPr>
          <w:sz w:val="22"/>
        </w:rPr>
        <w:t xml:space="preserve">. </w:t>
      </w:r>
      <w:r w:rsidR="004F5EB9">
        <w:rPr>
          <w:sz w:val="22"/>
        </w:rPr>
        <w:t>Two</w:t>
      </w:r>
      <w:r w:rsidR="00240095">
        <w:rPr>
          <w:sz w:val="22"/>
        </w:rPr>
        <w:t xml:space="preserve"> criteria for satisfaction were consistency and clarity of the process</w:t>
      </w:r>
      <w:r w:rsidR="00A13347">
        <w:rPr>
          <w:sz w:val="22"/>
        </w:rPr>
        <w:t>. T</w:t>
      </w:r>
      <w:r w:rsidR="00240095">
        <w:rPr>
          <w:sz w:val="22"/>
        </w:rPr>
        <w:t>herefore, the costing group suggests the following:</w:t>
      </w:r>
    </w:p>
    <w:p w:rsidR="00240095" w:rsidRPr="00740DFE" w:rsidRDefault="00240095" w:rsidP="00240095">
      <w:pPr>
        <w:pStyle w:val="ListParagraph"/>
        <w:numPr>
          <w:ilvl w:val="0"/>
          <w:numId w:val="24"/>
        </w:numPr>
      </w:pPr>
      <w:r>
        <w:t xml:space="preserve">Country </w:t>
      </w:r>
      <w:r w:rsidRPr="00740DFE">
        <w:t>teams should not change methodology without seriously considering the implications, and avoid moving back</w:t>
      </w:r>
      <w:r w:rsidR="00A13347">
        <w:t>-</w:t>
      </w:r>
      <w:r w:rsidRPr="00740DFE">
        <w:t>and</w:t>
      </w:r>
      <w:r w:rsidR="00A13347">
        <w:t>-</w:t>
      </w:r>
      <w:r w:rsidRPr="00740DFE">
        <w:t>forth between methodologies.</w:t>
      </w:r>
    </w:p>
    <w:p w:rsidR="004054EC" w:rsidRPr="00740DFE" w:rsidRDefault="00240095" w:rsidP="00240095">
      <w:pPr>
        <w:pStyle w:val="ListParagraph"/>
        <w:numPr>
          <w:ilvl w:val="0"/>
          <w:numId w:val="24"/>
        </w:numPr>
      </w:pPr>
      <w:r w:rsidRPr="00740DFE">
        <w:t xml:space="preserve">Once a methodology is decided, a clear calendar and clear guidance should be shared, and respected.  </w:t>
      </w:r>
    </w:p>
    <w:p w:rsidR="004F5EB9" w:rsidRPr="00240095" w:rsidRDefault="004F5EB9" w:rsidP="004F5EB9">
      <w:pPr>
        <w:pStyle w:val="ListParagraph"/>
        <w:numPr>
          <w:ilvl w:val="0"/>
          <w:numId w:val="24"/>
        </w:numPr>
      </w:pPr>
      <w:r w:rsidRPr="00740DFE">
        <w:t xml:space="preserve">The methodology for </w:t>
      </w:r>
      <w:r w:rsidR="00A13347">
        <w:t xml:space="preserve">the </w:t>
      </w:r>
      <w:r w:rsidRPr="00740DFE">
        <w:t>cost</w:t>
      </w:r>
      <w:r w:rsidR="0064655C" w:rsidRPr="00740DFE">
        <w:t>ing</w:t>
      </w:r>
      <w:r w:rsidRPr="00740DFE">
        <w:t xml:space="preserve"> used should be documented</w:t>
      </w:r>
      <w:r>
        <w:t>.</w:t>
      </w:r>
    </w:p>
    <w:p w:rsidR="00240095" w:rsidRDefault="00240095" w:rsidP="008253D9">
      <w:pPr>
        <w:rPr>
          <w:sz w:val="22"/>
        </w:rPr>
      </w:pPr>
      <w:r>
        <w:rPr>
          <w:sz w:val="22"/>
        </w:rPr>
        <w:t xml:space="preserve">There is a general sense that one method does not fit all, and that different contexts and past practices lend themselves to different methodologies. Therefore, the Costing </w:t>
      </w:r>
      <w:r w:rsidR="00A13347">
        <w:rPr>
          <w:sz w:val="22"/>
        </w:rPr>
        <w:t>G</w:t>
      </w:r>
      <w:r>
        <w:rPr>
          <w:sz w:val="22"/>
        </w:rPr>
        <w:t xml:space="preserve">roup’s position is that Country </w:t>
      </w:r>
      <w:r w:rsidR="00A13347">
        <w:rPr>
          <w:sz w:val="22"/>
        </w:rPr>
        <w:t>T</w:t>
      </w:r>
      <w:r>
        <w:rPr>
          <w:sz w:val="22"/>
        </w:rPr>
        <w:t xml:space="preserve">eams should be encouraged to choose the method best suited to them, through careful consultation of local stakeholders and weighting the capacity of different actors (Agencies, Clusters) to engage. </w:t>
      </w:r>
    </w:p>
    <w:p w:rsidR="007A4B00" w:rsidRDefault="00240095" w:rsidP="005E0238">
      <w:pPr>
        <w:rPr>
          <w:sz w:val="22"/>
        </w:rPr>
      </w:pPr>
      <w:r>
        <w:rPr>
          <w:sz w:val="22"/>
        </w:rPr>
        <w:t xml:space="preserve">The Costing </w:t>
      </w:r>
      <w:r w:rsidR="005E0238">
        <w:rPr>
          <w:sz w:val="22"/>
        </w:rPr>
        <w:t>G</w:t>
      </w:r>
      <w:r>
        <w:rPr>
          <w:sz w:val="22"/>
        </w:rPr>
        <w:t>roup has written a</w:t>
      </w:r>
      <w:r w:rsidR="00A56FD6">
        <w:rPr>
          <w:sz w:val="22"/>
        </w:rPr>
        <w:t>n</w:t>
      </w:r>
      <w:r>
        <w:rPr>
          <w:sz w:val="22"/>
        </w:rPr>
        <w:t xml:space="preserve"> </w:t>
      </w:r>
      <w:r w:rsidR="00B21018">
        <w:rPr>
          <w:sz w:val="22"/>
        </w:rPr>
        <w:t>initial</w:t>
      </w:r>
      <w:r>
        <w:rPr>
          <w:sz w:val="22"/>
        </w:rPr>
        <w:t xml:space="preserve"> guidance document (annex one) to </w:t>
      </w:r>
      <w:r w:rsidR="00177BF0">
        <w:rPr>
          <w:sz w:val="22"/>
        </w:rPr>
        <w:t>help Country T</w:t>
      </w:r>
      <w:r>
        <w:rPr>
          <w:sz w:val="22"/>
        </w:rPr>
        <w:t>eams decide what methodology is best suited</w:t>
      </w:r>
      <w:r w:rsidR="00A13347">
        <w:rPr>
          <w:sz w:val="22"/>
        </w:rPr>
        <w:t xml:space="preserve"> within their contexts</w:t>
      </w:r>
      <w:r>
        <w:rPr>
          <w:sz w:val="22"/>
        </w:rPr>
        <w:t xml:space="preserve">. </w:t>
      </w:r>
      <w:r w:rsidR="007A4B00">
        <w:rPr>
          <w:sz w:val="22"/>
        </w:rPr>
        <w:t xml:space="preserve">The </w:t>
      </w:r>
      <w:r w:rsidR="00A13347">
        <w:rPr>
          <w:sz w:val="22"/>
        </w:rPr>
        <w:t>C</w:t>
      </w:r>
      <w:r w:rsidR="007A4B00">
        <w:rPr>
          <w:sz w:val="22"/>
        </w:rPr>
        <w:t xml:space="preserve">osting </w:t>
      </w:r>
      <w:r w:rsidR="00A13347">
        <w:rPr>
          <w:sz w:val="22"/>
        </w:rPr>
        <w:t>G</w:t>
      </w:r>
      <w:r w:rsidR="007A4B00">
        <w:rPr>
          <w:sz w:val="22"/>
        </w:rPr>
        <w:t>roup wishes to continue its task</w:t>
      </w:r>
      <w:r w:rsidR="003674F4">
        <w:rPr>
          <w:sz w:val="22"/>
        </w:rPr>
        <w:t xml:space="preserve">, possibly with support from a consultancy, </w:t>
      </w:r>
      <w:r w:rsidR="007A4B00">
        <w:rPr>
          <w:sz w:val="22"/>
        </w:rPr>
        <w:t xml:space="preserve">by writing fuller guidance, </w:t>
      </w:r>
      <w:r w:rsidR="009C2911">
        <w:rPr>
          <w:sz w:val="22"/>
        </w:rPr>
        <w:t xml:space="preserve">including basic methodology, </w:t>
      </w:r>
      <w:r w:rsidR="007A4B00">
        <w:rPr>
          <w:sz w:val="22"/>
        </w:rPr>
        <w:t xml:space="preserve">with inputs from each global cluster and with the support of the </w:t>
      </w:r>
      <w:r w:rsidR="005E0238">
        <w:rPr>
          <w:sz w:val="22"/>
        </w:rPr>
        <w:t xml:space="preserve">Global Cluster Coordination Group (GCCG) </w:t>
      </w:r>
      <w:r w:rsidR="007A4B00">
        <w:rPr>
          <w:sz w:val="22"/>
        </w:rPr>
        <w:t>for consistency. This guidance should include project</w:t>
      </w:r>
      <w:r w:rsidR="00A13347">
        <w:rPr>
          <w:sz w:val="22"/>
        </w:rPr>
        <w:t>-based</w:t>
      </w:r>
      <w:r w:rsidR="00C91CC8">
        <w:rPr>
          <w:sz w:val="22"/>
        </w:rPr>
        <w:t>,</w:t>
      </w:r>
      <w:r w:rsidR="007A4B00">
        <w:rPr>
          <w:sz w:val="22"/>
        </w:rPr>
        <w:t xml:space="preserve"> unit</w:t>
      </w:r>
      <w:r w:rsidR="00A13347">
        <w:rPr>
          <w:sz w:val="22"/>
        </w:rPr>
        <w:t>-</w:t>
      </w:r>
      <w:r w:rsidR="007A4B00">
        <w:rPr>
          <w:sz w:val="22"/>
        </w:rPr>
        <w:t xml:space="preserve">based </w:t>
      </w:r>
      <w:r w:rsidR="00C91CC8">
        <w:rPr>
          <w:sz w:val="22"/>
        </w:rPr>
        <w:t xml:space="preserve">and </w:t>
      </w:r>
      <w:r w:rsidR="000B15A6">
        <w:rPr>
          <w:sz w:val="22"/>
        </w:rPr>
        <w:t>hybrid</w:t>
      </w:r>
      <w:r w:rsidR="00C91CC8">
        <w:rPr>
          <w:sz w:val="22"/>
        </w:rPr>
        <w:t xml:space="preserve"> </w:t>
      </w:r>
      <w:r w:rsidR="007A4B00">
        <w:rPr>
          <w:sz w:val="22"/>
        </w:rPr>
        <w:t>options.</w:t>
      </w:r>
    </w:p>
    <w:p w:rsidR="00784E33" w:rsidRPr="00D920E6" w:rsidRDefault="0024099D" w:rsidP="00D920E6">
      <w:pPr>
        <w:spacing w:after="160" w:line="259" w:lineRule="auto"/>
        <w:ind w:left="0" w:firstLine="0"/>
        <w:jc w:val="left"/>
        <w:rPr>
          <w:b/>
          <w:bCs/>
          <w:sz w:val="28"/>
          <w:szCs w:val="28"/>
        </w:rPr>
      </w:pPr>
      <w:r>
        <w:rPr>
          <w:b/>
          <w:bCs/>
          <w:sz w:val="28"/>
          <w:szCs w:val="28"/>
        </w:rPr>
        <w:t>III</w:t>
      </w:r>
      <w:r w:rsidR="001A687A" w:rsidRPr="00D920E6">
        <w:rPr>
          <w:b/>
          <w:bCs/>
          <w:sz w:val="28"/>
          <w:szCs w:val="28"/>
        </w:rPr>
        <w:tab/>
        <w:t>Next Steps</w:t>
      </w:r>
    </w:p>
    <w:p w:rsidR="00E779AF" w:rsidRPr="000D6AB1" w:rsidRDefault="00055DD6" w:rsidP="00D920E6">
      <w:pPr>
        <w:pStyle w:val="Heading2"/>
        <w:spacing w:after="146"/>
        <w:ind w:left="-5"/>
        <w:rPr>
          <w:szCs w:val="23"/>
        </w:rPr>
      </w:pPr>
      <w:r w:rsidRPr="000D6AB1">
        <w:rPr>
          <w:szCs w:val="23"/>
        </w:rPr>
        <w:t>The IASC Principals</w:t>
      </w:r>
      <w:r w:rsidR="00784E33">
        <w:rPr>
          <w:szCs w:val="23"/>
        </w:rPr>
        <w:t xml:space="preserve"> are asked to</w:t>
      </w:r>
      <w:r w:rsidRPr="000D6AB1">
        <w:rPr>
          <w:szCs w:val="23"/>
        </w:rPr>
        <w:t xml:space="preserve">: </w:t>
      </w:r>
    </w:p>
    <w:p w:rsidR="00AE5AE2" w:rsidRPr="00D920E6" w:rsidRDefault="00513F42" w:rsidP="00DD4038">
      <w:pPr>
        <w:numPr>
          <w:ilvl w:val="0"/>
          <w:numId w:val="2"/>
        </w:numPr>
        <w:spacing w:after="220" w:line="248" w:lineRule="auto"/>
        <w:ind w:right="89" w:hanging="534"/>
        <w:rPr>
          <w:b/>
          <w:bCs/>
          <w:sz w:val="22"/>
        </w:rPr>
      </w:pPr>
      <w:r w:rsidRPr="00DF35CE">
        <w:rPr>
          <w:b/>
          <w:color w:val="auto"/>
          <w:sz w:val="22"/>
        </w:rPr>
        <w:t>F</w:t>
      </w:r>
      <w:r>
        <w:rPr>
          <w:b/>
          <w:bCs/>
          <w:sz w:val="22"/>
        </w:rPr>
        <w:t xml:space="preserve">ormally </w:t>
      </w:r>
      <w:r w:rsidR="00B21018">
        <w:rPr>
          <w:b/>
          <w:bCs/>
          <w:sz w:val="22"/>
        </w:rPr>
        <w:t>recommend HCTs</w:t>
      </w:r>
      <w:r w:rsidR="005F2729">
        <w:rPr>
          <w:b/>
          <w:bCs/>
          <w:sz w:val="22"/>
        </w:rPr>
        <w:t xml:space="preserve"> adopt a coherent and transparent process and method for </w:t>
      </w:r>
      <w:r>
        <w:rPr>
          <w:b/>
          <w:bCs/>
          <w:sz w:val="22"/>
        </w:rPr>
        <w:t xml:space="preserve">costing Humanitarian Response </w:t>
      </w:r>
      <w:r w:rsidR="004F5EB9">
        <w:rPr>
          <w:b/>
          <w:bCs/>
          <w:sz w:val="22"/>
        </w:rPr>
        <w:t>P</w:t>
      </w:r>
      <w:r>
        <w:rPr>
          <w:b/>
          <w:bCs/>
          <w:sz w:val="22"/>
        </w:rPr>
        <w:t>lans</w:t>
      </w:r>
      <w:r w:rsidR="005F2729">
        <w:rPr>
          <w:b/>
          <w:bCs/>
          <w:sz w:val="22"/>
        </w:rPr>
        <w:t xml:space="preserve"> that is </w:t>
      </w:r>
      <w:r w:rsidR="00B21018">
        <w:rPr>
          <w:b/>
          <w:bCs/>
          <w:sz w:val="22"/>
        </w:rPr>
        <w:t>appropriate to context and capacities</w:t>
      </w:r>
      <w:r>
        <w:rPr>
          <w:b/>
          <w:bCs/>
          <w:sz w:val="22"/>
        </w:rPr>
        <w:t xml:space="preserve">, </w:t>
      </w:r>
      <w:r w:rsidR="00B21018">
        <w:rPr>
          <w:b/>
          <w:bCs/>
          <w:sz w:val="22"/>
        </w:rPr>
        <w:t>with options including</w:t>
      </w:r>
      <w:r>
        <w:rPr>
          <w:b/>
          <w:bCs/>
          <w:sz w:val="22"/>
        </w:rPr>
        <w:t xml:space="preserve"> project</w:t>
      </w:r>
      <w:r w:rsidR="005F2729">
        <w:rPr>
          <w:b/>
          <w:bCs/>
          <w:sz w:val="22"/>
        </w:rPr>
        <w:t>-</w:t>
      </w:r>
      <w:r>
        <w:rPr>
          <w:b/>
          <w:bCs/>
          <w:sz w:val="22"/>
        </w:rPr>
        <w:t xml:space="preserve">based </w:t>
      </w:r>
      <w:r w:rsidR="00B21018">
        <w:rPr>
          <w:b/>
          <w:bCs/>
          <w:sz w:val="22"/>
        </w:rPr>
        <w:t xml:space="preserve">or variations on </w:t>
      </w:r>
      <w:r w:rsidR="003B71B0">
        <w:rPr>
          <w:b/>
          <w:bCs/>
          <w:sz w:val="22"/>
        </w:rPr>
        <w:t>unit</w:t>
      </w:r>
      <w:r w:rsidR="005F2729">
        <w:rPr>
          <w:b/>
          <w:bCs/>
          <w:sz w:val="22"/>
        </w:rPr>
        <w:t>-based costing</w:t>
      </w:r>
      <w:r>
        <w:rPr>
          <w:b/>
          <w:bCs/>
          <w:sz w:val="22"/>
        </w:rPr>
        <w:t xml:space="preserve">. </w:t>
      </w:r>
    </w:p>
    <w:p w:rsidR="00DD4038" w:rsidRPr="00DD4038" w:rsidRDefault="00DD4038" w:rsidP="00DD4038">
      <w:pPr>
        <w:pStyle w:val="ListParagraph"/>
        <w:numPr>
          <w:ilvl w:val="0"/>
          <w:numId w:val="2"/>
        </w:numPr>
        <w:ind w:hanging="534"/>
        <w:rPr>
          <w:b/>
          <w:bCs/>
        </w:rPr>
      </w:pPr>
      <w:r w:rsidRPr="00DD4038">
        <w:rPr>
          <w:b/>
          <w:bCs/>
        </w:rPr>
        <w:t>Commission the Costing Group</w:t>
      </w:r>
      <w:r w:rsidR="00C37511">
        <w:rPr>
          <w:b/>
          <w:bCs/>
        </w:rPr>
        <w:t>,</w:t>
      </w:r>
      <w:r w:rsidRPr="00DD4038">
        <w:rPr>
          <w:b/>
          <w:bCs/>
        </w:rPr>
        <w:t xml:space="preserve"> with support from the </w:t>
      </w:r>
      <w:r w:rsidR="005E0238">
        <w:rPr>
          <w:b/>
          <w:bCs/>
        </w:rPr>
        <w:t>Global</w:t>
      </w:r>
      <w:r w:rsidRPr="00DD4038">
        <w:rPr>
          <w:b/>
          <w:bCs/>
        </w:rPr>
        <w:t xml:space="preserve"> Cluster </w:t>
      </w:r>
      <w:r w:rsidR="005E0238">
        <w:rPr>
          <w:b/>
          <w:bCs/>
        </w:rPr>
        <w:t xml:space="preserve">Coordination </w:t>
      </w:r>
      <w:r w:rsidRPr="00DD4038">
        <w:rPr>
          <w:b/>
          <w:bCs/>
        </w:rPr>
        <w:t xml:space="preserve">Group and </w:t>
      </w:r>
      <w:r w:rsidR="005E0238">
        <w:rPr>
          <w:b/>
          <w:bCs/>
        </w:rPr>
        <w:t xml:space="preserve">individual </w:t>
      </w:r>
      <w:r w:rsidRPr="00DD4038">
        <w:rPr>
          <w:b/>
          <w:bCs/>
        </w:rPr>
        <w:t>Global Clusters</w:t>
      </w:r>
      <w:r w:rsidR="00C37511">
        <w:rPr>
          <w:b/>
          <w:bCs/>
        </w:rPr>
        <w:t>,</w:t>
      </w:r>
      <w:r w:rsidRPr="00DD4038">
        <w:rPr>
          <w:b/>
          <w:bCs/>
        </w:rPr>
        <w:t xml:space="preserve"> to develop guidance for unit-based costing, based on existing, country-based guidance where available, providing both coherent com</w:t>
      </w:r>
      <w:r w:rsidR="00C37511">
        <w:rPr>
          <w:b/>
          <w:bCs/>
        </w:rPr>
        <w:t>mon guidance and cluster/sector-</w:t>
      </w:r>
      <w:r w:rsidRPr="00DD4038">
        <w:rPr>
          <w:b/>
          <w:bCs/>
        </w:rPr>
        <w:t>specific adaptations as needed</w:t>
      </w:r>
    </w:p>
    <w:p w:rsidR="003F59B2" w:rsidRPr="00D920E6" w:rsidRDefault="003F59B2" w:rsidP="00DD4038">
      <w:pPr>
        <w:numPr>
          <w:ilvl w:val="0"/>
          <w:numId w:val="2"/>
        </w:numPr>
        <w:spacing w:after="220" w:line="248" w:lineRule="auto"/>
        <w:ind w:right="89" w:hanging="534"/>
        <w:rPr>
          <w:b/>
          <w:bCs/>
          <w:sz w:val="22"/>
        </w:rPr>
      </w:pPr>
      <w:r>
        <w:rPr>
          <w:b/>
          <w:bCs/>
          <w:sz w:val="22"/>
        </w:rPr>
        <w:t xml:space="preserve">Commission the Costing </w:t>
      </w:r>
      <w:r w:rsidR="00A13347">
        <w:rPr>
          <w:b/>
          <w:bCs/>
          <w:sz w:val="22"/>
        </w:rPr>
        <w:t>G</w:t>
      </w:r>
      <w:r>
        <w:rPr>
          <w:b/>
          <w:bCs/>
          <w:sz w:val="22"/>
        </w:rPr>
        <w:t xml:space="preserve">roup to review and improve the existing guidance on project-based costing </w:t>
      </w:r>
      <w:r w:rsidR="00C37511">
        <w:rPr>
          <w:b/>
          <w:bCs/>
          <w:sz w:val="22"/>
        </w:rPr>
        <w:t xml:space="preserve">so </w:t>
      </w:r>
      <w:r>
        <w:rPr>
          <w:b/>
          <w:bCs/>
          <w:sz w:val="22"/>
        </w:rPr>
        <w:t>as to ensure increased credibility, transparency, and simplicity.</w:t>
      </w:r>
    </w:p>
    <w:p w:rsidR="00FA0457" w:rsidRDefault="00FA0457" w:rsidP="004F5EB9">
      <w:pPr>
        <w:spacing w:after="0" w:line="259" w:lineRule="auto"/>
        <w:ind w:left="0" w:right="56" w:firstLine="0"/>
        <w:jc w:val="right"/>
        <w:rPr>
          <w:i/>
          <w:sz w:val="22"/>
        </w:rPr>
      </w:pPr>
    </w:p>
    <w:p w:rsidR="00FA0457" w:rsidRDefault="00FA0457" w:rsidP="004F5EB9">
      <w:pPr>
        <w:spacing w:after="0" w:line="259" w:lineRule="auto"/>
        <w:ind w:left="0" w:right="56" w:firstLine="0"/>
        <w:jc w:val="right"/>
        <w:rPr>
          <w:i/>
          <w:sz w:val="22"/>
        </w:rPr>
      </w:pPr>
    </w:p>
    <w:p w:rsidR="00FA0457" w:rsidRDefault="00FA0457" w:rsidP="004F5EB9">
      <w:pPr>
        <w:spacing w:after="0" w:line="259" w:lineRule="auto"/>
        <w:ind w:left="0" w:right="56" w:firstLine="0"/>
        <w:jc w:val="right"/>
        <w:rPr>
          <w:i/>
          <w:sz w:val="22"/>
        </w:rPr>
      </w:pPr>
    </w:p>
    <w:p w:rsidR="00E779AF" w:rsidRDefault="00055DD6" w:rsidP="004F5EB9">
      <w:pPr>
        <w:spacing w:after="0" w:line="259" w:lineRule="auto"/>
        <w:ind w:left="0" w:right="56" w:firstLine="0"/>
        <w:jc w:val="right"/>
        <w:rPr>
          <w:i/>
          <w:sz w:val="22"/>
        </w:rPr>
      </w:pPr>
      <w:r w:rsidRPr="000D6AB1">
        <w:rPr>
          <w:i/>
          <w:sz w:val="22"/>
        </w:rPr>
        <w:t xml:space="preserve">Prepared by the </w:t>
      </w:r>
      <w:r w:rsidR="004C6022" w:rsidRPr="000D6AB1">
        <w:rPr>
          <w:i/>
          <w:sz w:val="22"/>
        </w:rPr>
        <w:t xml:space="preserve">Costing </w:t>
      </w:r>
      <w:r w:rsidRPr="000D6AB1">
        <w:rPr>
          <w:i/>
          <w:sz w:val="22"/>
        </w:rPr>
        <w:t>Sub</w:t>
      </w:r>
      <w:r w:rsidR="009F673F">
        <w:rPr>
          <w:i/>
          <w:sz w:val="22"/>
        </w:rPr>
        <w:t>-</w:t>
      </w:r>
      <w:r w:rsidRPr="000D6AB1">
        <w:rPr>
          <w:i/>
          <w:sz w:val="22"/>
        </w:rPr>
        <w:t xml:space="preserve">Group, </w:t>
      </w:r>
      <w:r w:rsidR="004F5EB9">
        <w:rPr>
          <w:i/>
          <w:sz w:val="22"/>
        </w:rPr>
        <w:t>June 2017</w:t>
      </w:r>
      <w:r w:rsidRPr="000D6AB1">
        <w:rPr>
          <w:i/>
          <w:sz w:val="22"/>
        </w:rPr>
        <w:t xml:space="preserve"> </w:t>
      </w:r>
    </w:p>
    <w:p w:rsidR="00CE3AA2" w:rsidRDefault="00CE3AA2">
      <w:pPr>
        <w:spacing w:after="160" w:line="259" w:lineRule="auto"/>
        <w:ind w:left="0" w:firstLine="0"/>
        <w:jc w:val="left"/>
        <w:rPr>
          <w:i/>
          <w:sz w:val="22"/>
        </w:rPr>
      </w:pPr>
    </w:p>
    <w:p w:rsidR="00F040AC" w:rsidRDefault="00F040AC">
      <w:pPr>
        <w:spacing w:after="160" w:line="259" w:lineRule="auto"/>
        <w:ind w:left="0" w:firstLine="0"/>
        <w:jc w:val="left"/>
        <w:rPr>
          <w:i/>
          <w:sz w:val="22"/>
        </w:rPr>
      </w:pPr>
    </w:p>
    <w:p w:rsidR="00CE3AA2" w:rsidRPr="00CE3AA2" w:rsidRDefault="00CE3AA2" w:rsidP="00CE3AA2">
      <w:pPr>
        <w:keepNext/>
        <w:keepLines/>
        <w:widowControl w:val="0"/>
        <w:spacing w:before="480" w:after="0" w:line="240" w:lineRule="auto"/>
        <w:ind w:left="0" w:firstLine="0"/>
        <w:jc w:val="center"/>
        <w:outlineLvl w:val="0"/>
        <w:rPr>
          <w:rFonts w:ascii="Garamond" w:eastAsia="Garamond" w:hAnsi="Garamond" w:cs="Garamond"/>
          <w:b/>
          <w:color w:val="2B6FAB"/>
          <w:sz w:val="32"/>
          <w:szCs w:val="32"/>
          <w:lang w:eastAsia="zh-CN"/>
        </w:rPr>
      </w:pPr>
      <w:r w:rsidRPr="00CE3AA2">
        <w:rPr>
          <w:rFonts w:ascii="Garamond" w:eastAsia="Garamond" w:hAnsi="Garamond" w:cs="Garamond"/>
          <w:b/>
          <w:color w:val="2B6FAB"/>
          <w:sz w:val="32"/>
          <w:szCs w:val="32"/>
          <w:lang w:eastAsia="zh-CN"/>
        </w:rPr>
        <w:t>Annex 1</w:t>
      </w:r>
      <w:r w:rsidR="00F040AC">
        <w:rPr>
          <w:rFonts w:ascii="Garamond" w:eastAsia="Garamond" w:hAnsi="Garamond" w:cs="Garamond"/>
          <w:b/>
          <w:color w:val="2B6FAB"/>
          <w:sz w:val="32"/>
          <w:szCs w:val="32"/>
          <w:lang w:eastAsia="zh-CN"/>
        </w:rPr>
        <w:t xml:space="preserve"> – initial guidance</w:t>
      </w:r>
    </w:p>
    <w:p w:rsidR="003539EE" w:rsidRDefault="00CE3AA2" w:rsidP="00FA0457">
      <w:pPr>
        <w:keepNext/>
        <w:keepLines/>
        <w:widowControl w:val="0"/>
        <w:spacing w:before="480" w:after="0" w:line="240" w:lineRule="auto"/>
        <w:ind w:left="0" w:firstLine="0"/>
        <w:jc w:val="center"/>
        <w:outlineLvl w:val="0"/>
        <w:rPr>
          <w:rFonts w:ascii="Garamond" w:eastAsia="Garamond" w:hAnsi="Garamond" w:cs="Garamond"/>
          <w:b/>
          <w:color w:val="2B6FAB"/>
          <w:sz w:val="32"/>
          <w:szCs w:val="32"/>
          <w:lang w:eastAsia="zh-CN"/>
        </w:rPr>
      </w:pPr>
      <w:r w:rsidRPr="00CE3AA2">
        <w:rPr>
          <w:rFonts w:ascii="Garamond" w:eastAsia="Garamond" w:hAnsi="Garamond" w:cs="Garamond"/>
          <w:b/>
          <w:color w:val="2B6FAB"/>
          <w:sz w:val="32"/>
          <w:szCs w:val="32"/>
          <w:lang w:eastAsia="zh-CN"/>
        </w:rPr>
        <w:t>HRP COSTING METHODOLOGY OPTIONS</w:t>
      </w:r>
    </w:p>
    <w:p w:rsidR="008B6D5E" w:rsidRDefault="008B6D5E" w:rsidP="00892B38">
      <w:pPr>
        <w:pStyle w:val="ListParagraph"/>
        <w:keepNext/>
        <w:keepLines/>
        <w:widowControl w:val="0"/>
        <w:numPr>
          <w:ilvl w:val="0"/>
          <w:numId w:val="32"/>
        </w:numPr>
        <w:spacing w:before="480" w:after="0" w:line="240" w:lineRule="auto"/>
        <w:jc w:val="left"/>
        <w:outlineLvl w:val="0"/>
        <w:rPr>
          <w:rFonts w:ascii="Arial" w:eastAsia="Arial" w:hAnsi="Arial" w:cs="Arial"/>
          <w:b/>
          <w:color w:val="5B9BD5"/>
          <w:sz w:val="32"/>
          <w:szCs w:val="32"/>
          <w:lang w:eastAsia="zh-CN"/>
        </w:rPr>
      </w:pPr>
      <w:r w:rsidRPr="00892B38">
        <w:rPr>
          <w:rFonts w:ascii="Arial" w:eastAsia="Arial" w:hAnsi="Arial" w:cs="Arial"/>
          <w:b/>
          <w:color w:val="5B9BD5"/>
          <w:sz w:val="32"/>
          <w:szCs w:val="32"/>
          <w:lang w:eastAsia="zh-CN"/>
        </w:rPr>
        <w:t xml:space="preserve">General good practices </w:t>
      </w:r>
    </w:p>
    <w:p w:rsidR="00356136" w:rsidRDefault="00356136" w:rsidP="00356136">
      <w:pPr>
        <w:pStyle w:val="ListParagraph"/>
        <w:keepNext/>
        <w:keepLines/>
        <w:widowControl w:val="0"/>
        <w:spacing w:before="480" w:after="0" w:line="240" w:lineRule="auto"/>
        <w:ind w:left="1080"/>
        <w:jc w:val="left"/>
        <w:outlineLvl w:val="0"/>
        <w:rPr>
          <w:rFonts w:ascii="Arial" w:eastAsia="Arial" w:hAnsi="Arial" w:cs="Arial"/>
          <w:b/>
          <w:color w:val="5B9BD5"/>
          <w:sz w:val="32"/>
          <w:szCs w:val="32"/>
          <w:lang w:eastAsia="zh-CN"/>
        </w:rPr>
      </w:pPr>
    </w:p>
    <w:p w:rsidR="005561B8" w:rsidRPr="00B964BA" w:rsidRDefault="005561B8" w:rsidP="005561B8">
      <w:pPr>
        <w:pStyle w:val="ListParagraph"/>
        <w:numPr>
          <w:ilvl w:val="0"/>
          <w:numId w:val="26"/>
        </w:numPr>
        <w:spacing w:before="0" w:after="0" w:line="276" w:lineRule="auto"/>
        <w:ind w:left="426" w:hanging="284"/>
        <w:contextualSpacing w:val="0"/>
        <w:jc w:val="left"/>
        <w:rPr>
          <w:sz w:val="20"/>
          <w:szCs w:val="20"/>
        </w:rPr>
      </w:pPr>
      <w:r>
        <w:rPr>
          <w:rFonts w:ascii="Arial" w:hAnsi="Arial" w:cs="Arial"/>
          <w:sz w:val="20"/>
          <w:szCs w:val="20"/>
        </w:rPr>
        <w:t>Country teams should not envision changing costing methodology unless there is a strong rationale to do so</w:t>
      </w:r>
      <w:r w:rsidRPr="00B964BA">
        <w:rPr>
          <w:rFonts w:ascii="Arial" w:hAnsi="Arial" w:cs="Arial"/>
          <w:sz w:val="20"/>
          <w:szCs w:val="20"/>
        </w:rPr>
        <w:t xml:space="preserve">, and the below points are well understood. </w:t>
      </w:r>
    </w:p>
    <w:p w:rsidR="005561B8" w:rsidRPr="00B964BA" w:rsidRDefault="005561B8" w:rsidP="005561B8">
      <w:pPr>
        <w:pStyle w:val="ListParagraph"/>
        <w:numPr>
          <w:ilvl w:val="0"/>
          <w:numId w:val="26"/>
        </w:numPr>
        <w:spacing w:before="0" w:after="0" w:line="276" w:lineRule="auto"/>
        <w:ind w:left="426" w:hanging="284"/>
        <w:contextualSpacing w:val="0"/>
        <w:jc w:val="left"/>
        <w:rPr>
          <w:sz w:val="20"/>
          <w:szCs w:val="20"/>
        </w:rPr>
      </w:pPr>
      <w:r w:rsidRPr="00B964BA">
        <w:rPr>
          <w:rFonts w:ascii="Arial" w:hAnsi="Arial" w:cs="Arial"/>
          <w:sz w:val="20"/>
          <w:szCs w:val="20"/>
        </w:rPr>
        <w:t>Country teams should prepare well before the planning and costing processes start and define the timeline and costing methodology beforehand.</w:t>
      </w:r>
    </w:p>
    <w:p w:rsidR="005561B8" w:rsidRPr="00B964BA" w:rsidRDefault="005561B8" w:rsidP="005561B8">
      <w:pPr>
        <w:pStyle w:val="ListParagraph"/>
        <w:numPr>
          <w:ilvl w:val="0"/>
          <w:numId w:val="26"/>
        </w:numPr>
        <w:spacing w:before="0" w:after="0" w:line="276" w:lineRule="auto"/>
        <w:ind w:left="426" w:hanging="284"/>
        <w:contextualSpacing w:val="0"/>
        <w:jc w:val="left"/>
        <w:rPr>
          <w:rFonts w:ascii="Arial" w:hAnsi="Arial" w:cs="Arial"/>
          <w:sz w:val="20"/>
          <w:szCs w:val="20"/>
        </w:rPr>
      </w:pPr>
      <w:r w:rsidRPr="00B964BA">
        <w:rPr>
          <w:rFonts w:ascii="Arial" w:hAnsi="Arial" w:cs="Arial"/>
          <w:sz w:val="20"/>
          <w:szCs w:val="20"/>
        </w:rPr>
        <w:t>The agreed</w:t>
      </w:r>
      <w:r w:rsidR="00A13347">
        <w:rPr>
          <w:rFonts w:ascii="Arial" w:hAnsi="Arial" w:cs="Arial"/>
          <w:sz w:val="20"/>
          <w:szCs w:val="20"/>
        </w:rPr>
        <w:t>-</w:t>
      </w:r>
      <w:r w:rsidRPr="00B964BA">
        <w:rPr>
          <w:rFonts w:ascii="Arial" w:hAnsi="Arial" w:cs="Arial"/>
          <w:sz w:val="20"/>
          <w:szCs w:val="20"/>
        </w:rPr>
        <w:t>upon methodology should reflect consensus, so the preferred methodology is actively supported by all clusters/agencies</w:t>
      </w:r>
    </w:p>
    <w:p w:rsidR="005561B8" w:rsidRPr="00B964BA" w:rsidRDefault="005561B8" w:rsidP="00A13347">
      <w:pPr>
        <w:pStyle w:val="ListParagraph"/>
        <w:numPr>
          <w:ilvl w:val="0"/>
          <w:numId w:val="26"/>
        </w:numPr>
        <w:spacing w:before="0" w:after="0" w:line="276" w:lineRule="auto"/>
        <w:ind w:left="426" w:hanging="284"/>
        <w:contextualSpacing w:val="0"/>
        <w:jc w:val="left"/>
        <w:rPr>
          <w:rFonts w:ascii="Calibri" w:hAnsi="Calibri"/>
          <w:sz w:val="20"/>
          <w:szCs w:val="20"/>
        </w:rPr>
      </w:pPr>
      <w:r w:rsidRPr="00B964BA">
        <w:rPr>
          <w:rFonts w:ascii="Arial" w:hAnsi="Arial" w:cs="Arial"/>
          <w:sz w:val="20"/>
          <w:szCs w:val="20"/>
        </w:rPr>
        <w:t>Once the methodology has been agreed, based on existing country capacity and expertise, brief key stakeholders on the process and request for support as needed.</w:t>
      </w:r>
    </w:p>
    <w:p w:rsidR="005561B8" w:rsidRPr="00B964BA" w:rsidRDefault="005561B8" w:rsidP="00A13347">
      <w:pPr>
        <w:pStyle w:val="ListParagraph"/>
        <w:numPr>
          <w:ilvl w:val="0"/>
          <w:numId w:val="26"/>
        </w:numPr>
        <w:ind w:left="426" w:hanging="284"/>
        <w:rPr>
          <w:rFonts w:ascii="Arial" w:hAnsi="Arial" w:cs="Arial"/>
          <w:sz w:val="20"/>
          <w:szCs w:val="20"/>
        </w:rPr>
      </w:pPr>
      <w:r w:rsidRPr="00B964BA">
        <w:rPr>
          <w:rFonts w:ascii="Arial" w:hAnsi="Arial" w:cs="Arial"/>
          <w:sz w:val="20"/>
          <w:szCs w:val="20"/>
        </w:rPr>
        <w:t>As some categories of intervention lend themselves more readily to applying cost drivers than others – i.e. shelter vs. protection estimating the effect of some activities, such as case management or protection monitoring, might require additional time and/or resources from Country Teams.</w:t>
      </w:r>
    </w:p>
    <w:p w:rsidR="005561B8" w:rsidRDefault="005561B8" w:rsidP="005561B8">
      <w:pPr>
        <w:pStyle w:val="ListParagraph"/>
        <w:numPr>
          <w:ilvl w:val="0"/>
          <w:numId w:val="26"/>
        </w:numPr>
        <w:spacing w:before="0" w:after="0" w:line="276" w:lineRule="auto"/>
        <w:ind w:left="426" w:hanging="284"/>
        <w:contextualSpacing w:val="0"/>
        <w:jc w:val="left"/>
        <w:rPr>
          <w:rFonts w:ascii="Arial" w:hAnsi="Arial" w:cs="Arial"/>
          <w:sz w:val="20"/>
          <w:szCs w:val="20"/>
        </w:rPr>
      </w:pPr>
      <w:r w:rsidRPr="00B964BA">
        <w:rPr>
          <w:rFonts w:ascii="Arial" w:hAnsi="Arial" w:cs="Arial"/>
          <w:sz w:val="20"/>
          <w:szCs w:val="20"/>
        </w:rPr>
        <w:t xml:space="preserve">The process must be clear, and no unexpected changes (such as setting a ceiling at a late stage for example) should </w:t>
      </w:r>
      <w:r>
        <w:rPr>
          <w:rFonts w:ascii="Arial" w:hAnsi="Arial" w:cs="Arial"/>
          <w:sz w:val="20"/>
          <w:szCs w:val="20"/>
        </w:rPr>
        <w:t>be accepted.</w:t>
      </w:r>
    </w:p>
    <w:p w:rsidR="005561B8" w:rsidRDefault="005561B8" w:rsidP="005561B8">
      <w:pPr>
        <w:pStyle w:val="ListParagraph"/>
        <w:numPr>
          <w:ilvl w:val="0"/>
          <w:numId w:val="26"/>
        </w:numPr>
        <w:spacing w:before="0" w:after="0" w:line="276" w:lineRule="auto"/>
        <w:ind w:left="426" w:hanging="284"/>
        <w:contextualSpacing w:val="0"/>
        <w:jc w:val="left"/>
        <w:rPr>
          <w:rFonts w:ascii="Calibri" w:hAnsi="Calibri"/>
          <w:sz w:val="20"/>
          <w:szCs w:val="20"/>
        </w:rPr>
      </w:pPr>
      <w:r>
        <w:rPr>
          <w:sz w:val="20"/>
          <w:szCs w:val="20"/>
        </w:rPr>
        <w:t>D</w:t>
      </w:r>
      <w:r>
        <w:rPr>
          <w:rFonts w:ascii="Arial" w:hAnsi="Arial" w:cs="Arial"/>
          <w:sz w:val="20"/>
          <w:szCs w:val="20"/>
        </w:rPr>
        <w:t xml:space="preserve">uring the year, OCHA and partners should actively participate in ensuring that FTS is updated. </w:t>
      </w:r>
    </w:p>
    <w:p w:rsidR="008B6D5E" w:rsidRPr="005561B8" w:rsidRDefault="008B6D5E" w:rsidP="00892B38">
      <w:pPr>
        <w:widowControl w:val="0"/>
        <w:spacing w:after="0" w:line="276" w:lineRule="auto"/>
        <w:ind w:left="426" w:firstLine="0"/>
        <w:contextualSpacing/>
        <w:jc w:val="left"/>
        <w:rPr>
          <w:rFonts w:ascii="Arial" w:eastAsia="Arial" w:hAnsi="Arial" w:cs="Arial"/>
          <w:sz w:val="20"/>
          <w:szCs w:val="20"/>
          <w:lang w:val="en-US" w:eastAsia="zh-CN"/>
        </w:rPr>
      </w:pPr>
    </w:p>
    <w:p w:rsidR="00CE3AA2" w:rsidRPr="00CE3AA2" w:rsidRDefault="00CE3AA2" w:rsidP="00CE3AA2">
      <w:pPr>
        <w:keepNext/>
        <w:keepLines/>
        <w:widowControl w:val="0"/>
        <w:numPr>
          <w:ilvl w:val="0"/>
          <w:numId w:val="32"/>
        </w:numPr>
        <w:spacing w:before="240" w:after="40" w:line="276" w:lineRule="auto"/>
        <w:jc w:val="left"/>
        <w:outlineLvl w:val="1"/>
        <w:rPr>
          <w:rFonts w:ascii="Arial" w:eastAsia="Arial" w:hAnsi="Arial" w:cs="Arial"/>
          <w:b/>
          <w:color w:val="5B9BD5"/>
          <w:sz w:val="32"/>
          <w:szCs w:val="32"/>
          <w:lang w:eastAsia="zh-CN"/>
        </w:rPr>
      </w:pPr>
      <w:r w:rsidRPr="00CE3AA2">
        <w:rPr>
          <w:rFonts w:ascii="Arial" w:eastAsia="Arial" w:hAnsi="Arial" w:cs="Arial"/>
          <w:b/>
          <w:color w:val="5B9BD5"/>
          <w:sz w:val="32"/>
          <w:szCs w:val="32"/>
          <w:lang w:eastAsia="zh-CN"/>
        </w:rPr>
        <w:t xml:space="preserve">Project-based costing </w:t>
      </w:r>
    </w:p>
    <w:p w:rsidR="00CE3AA2" w:rsidRPr="00CE3AA2" w:rsidRDefault="00CE3AA2" w:rsidP="00CE3AA2">
      <w:pPr>
        <w:keepNext/>
        <w:keepLines/>
        <w:widowControl w:val="0"/>
        <w:spacing w:before="200" w:after="0" w:line="240" w:lineRule="auto"/>
        <w:ind w:left="0" w:firstLine="0"/>
        <w:jc w:val="left"/>
        <w:outlineLvl w:val="2"/>
        <w:rPr>
          <w:rFonts w:ascii="Calibri" w:eastAsia="Calibri" w:hAnsi="Calibri" w:cs="Calibri"/>
          <w:b/>
          <w:color w:val="5B9BD5"/>
          <w:sz w:val="24"/>
          <w:szCs w:val="24"/>
          <w:lang w:eastAsia="zh-CN"/>
        </w:rPr>
      </w:pPr>
      <w:r w:rsidRPr="00CE3AA2">
        <w:rPr>
          <w:rFonts w:ascii="Calibri" w:eastAsia="Calibri" w:hAnsi="Calibri" w:cs="Calibri"/>
          <w:b/>
          <w:color w:val="5B9BD5"/>
          <w:sz w:val="24"/>
          <w:szCs w:val="24"/>
          <w:lang w:eastAsia="zh-CN"/>
        </w:rPr>
        <w:t>Preconditions</w:t>
      </w:r>
    </w:p>
    <w:p w:rsidR="00CE3AA2" w:rsidRPr="00CE3AA2" w:rsidRDefault="00CE3AA2" w:rsidP="00CE3AA2">
      <w:pPr>
        <w:widowControl w:val="0"/>
        <w:numPr>
          <w:ilvl w:val="0"/>
          <w:numId w:val="26"/>
        </w:numPr>
        <w:spacing w:after="0" w:line="276" w:lineRule="auto"/>
        <w:ind w:left="426" w:hanging="284"/>
        <w:contextualSpacing/>
        <w:jc w:val="left"/>
        <w:rPr>
          <w:rFonts w:ascii="Calibri" w:eastAsia="Calibri" w:hAnsi="Calibri" w:cs="Calibri"/>
          <w:sz w:val="20"/>
          <w:szCs w:val="20"/>
          <w:lang w:eastAsia="zh-CN"/>
        </w:rPr>
      </w:pPr>
      <w:r w:rsidRPr="00CE3AA2">
        <w:rPr>
          <w:rFonts w:ascii="Arial" w:eastAsia="Arial" w:hAnsi="Arial" w:cs="Arial"/>
          <w:sz w:val="20"/>
          <w:szCs w:val="20"/>
          <w:lang w:eastAsia="zh-CN"/>
        </w:rPr>
        <w:t>Agreement by all partners for full public disclosure of their project on OPS / FTS</w:t>
      </w:r>
    </w:p>
    <w:p w:rsidR="00CE3AA2" w:rsidRPr="00CE3AA2" w:rsidRDefault="00CE3AA2" w:rsidP="00CE3AA2">
      <w:pPr>
        <w:widowControl w:val="0"/>
        <w:numPr>
          <w:ilvl w:val="0"/>
          <w:numId w:val="26"/>
        </w:numPr>
        <w:spacing w:after="0" w:line="276" w:lineRule="auto"/>
        <w:ind w:left="426" w:hanging="284"/>
        <w:contextualSpacing/>
        <w:jc w:val="left"/>
        <w:rPr>
          <w:rFonts w:ascii="Calibri" w:eastAsia="Calibri" w:hAnsi="Calibri" w:cs="Calibri"/>
          <w:sz w:val="20"/>
          <w:szCs w:val="20"/>
          <w:lang w:eastAsia="zh-CN"/>
        </w:rPr>
      </w:pPr>
      <w:r w:rsidRPr="00CE3AA2">
        <w:rPr>
          <w:rFonts w:ascii="Arial" w:eastAsia="Arial" w:hAnsi="Arial" w:cs="Arial"/>
          <w:sz w:val="20"/>
          <w:szCs w:val="20"/>
          <w:lang w:eastAsia="zh-CN"/>
        </w:rPr>
        <w:t xml:space="preserve">OCHA in country is able to support in OPS usage - including OPS introductions, training and user support (in addition to the support provided by OCHA Geneva), and is able to manage and communicate on the overall process of project submission and vetting. </w:t>
      </w:r>
    </w:p>
    <w:p w:rsidR="00CE3AA2" w:rsidRPr="00CE3AA2" w:rsidRDefault="00CE3AA2" w:rsidP="00CE3AA2">
      <w:pPr>
        <w:keepNext/>
        <w:keepLines/>
        <w:widowControl w:val="0"/>
        <w:spacing w:before="200" w:after="0" w:line="240" w:lineRule="auto"/>
        <w:ind w:left="0" w:firstLine="0"/>
        <w:jc w:val="left"/>
        <w:outlineLvl w:val="2"/>
        <w:rPr>
          <w:rFonts w:ascii="Calibri" w:eastAsia="Calibri" w:hAnsi="Calibri" w:cs="Calibri"/>
          <w:b/>
          <w:color w:val="5B9BD5"/>
          <w:sz w:val="24"/>
          <w:szCs w:val="24"/>
          <w:lang w:eastAsia="zh-CN"/>
        </w:rPr>
      </w:pPr>
      <w:r w:rsidRPr="00CE3AA2">
        <w:rPr>
          <w:rFonts w:ascii="Calibri" w:eastAsia="Calibri" w:hAnsi="Calibri" w:cs="Calibri"/>
          <w:b/>
          <w:color w:val="5B9BD5"/>
          <w:sz w:val="24"/>
          <w:szCs w:val="24"/>
          <w:lang w:eastAsia="zh-CN"/>
        </w:rPr>
        <w:t xml:space="preserve">Methodology </w:t>
      </w:r>
    </w:p>
    <w:p w:rsidR="00CE3AA2" w:rsidRPr="00CE3AA2" w:rsidRDefault="00CE3AA2" w:rsidP="004F2D0C">
      <w:pPr>
        <w:widowControl w:val="0"/>
        <w:spacing w:after="0" w:line="276" w:lineRule="auto"/>
        <w:ind w:left="142" w:firstLine="0"/>
        <w:rPr>
          <w:rFonts w:ascii="Arial" w:eastAsia="Arial" w:hAnsi="Arial" w:cs="Arial"/>
          <w:sz w:val="20"/>
          <w:szCs w:val="20"/>
          <w:lang w:eastAsia="zh-CN"/>
        </w:rPr>
      </w:pPr>
      <w:r w:rsidRPr="00CE3AA2">
        <w:rPr>
          <w:rFonts w:ascii="Arial" w:eastAsia="Arial" w:hAnsi="Arial" w:cs="Arial"/>
          <w:sz w:val="20"/>
          <w:szCs w:val="20"/>
          <w:lang w:eastAsia="zh-CN"/>
        </w:rPr>
        <w:t xml:space="preserve">The clusters/sectors identify humanitarian activities, with indicators and </w:t>
      </w:r>
      <w:r w:rsidR="00992A1A" w:rsidRPr="00CE3AA2">
        <w:rPr>
          <w:rFonts w:ascii="Arial" w:eastAsia="Arial" w:hAnsi="Arial" w:cs="Arial"/>
          <w:sz w:val="20"/>
          <w:szCs w:val="20"/>
          <w:lang w:eastAsia="zh-CN"/>
        </w:rPr>
        <w:t>targets</w:t>
      </w:r>
      <w:r w:rsidR="00992A1A">
        <w:rPr>
          <w:rFonts w:ascii="Arial" w:eastAsia="Arial" w:hAnsi="Arial" w:cs="Arial"/>
          <w:sz w:val="20"/>
          <w:szCs w:val="20"/>
          <w:lang w:eastAsia="zh-CN"/>
        </w:rPr>
        <w:t xml:space="preserve"> </w:t>
      </w:r>
      <w:r w:rsidR="00992A1A" w:rsidRPr="00CE3AA2">
        <w:rPr>
          <w:rFonts w:ascii="Arial" w:eastAsia="Arial" w:hAnsi="Arial" w:cs="Arial"/>
          <w:sz w:val="20"/>
          <w:szCs w:val="20"/>
          <w:lang w:eastAsia="zh-CN"/>
        </w:rPr>
        <w:t>in</w:t>
      </w:r>
      <w:r w:rsidRPr="00CE3AA2">
        <w:rPr>
          <w:rFonts w:ascii="Arial" w:eastAsia="Arial" w:hAnsi="Arial" w:cs="Arial"/>
          <w:sz w:val="20"/>
          <w:szCs w:val="20"/>
          <w:lang w:eastAsia="zh-CN"/>
        </w:rPr>
        <w:t xml:space="preserve"> line with the strategic objectives and present them in the cluster/sector response plans of the HRP. Subsequently, all sector members submit their projects, including project budgets, via the online project system (OPS) database. Cluster coordinators vet projects according to an agreed timeline and</w:t>
      </w:r>
      <w:r w:rsidR="008B6D5E">
        <w:rPr>
          <w:rFonts w:ascii="Arial" w:eastAsia="Arial" w:hAnsi="Arial" w:cs="Arial"/>
          <w:sz w:val="20"/>
          <w:szCs w:val="20"/>
          <w:lang w:eastAsia="zh-CN"/>
        </w:rPr>
        <w:t xml:space="preserve"> </w:t>
      </w:r>
      <w:r w:rsidR="0096715D">
        <w:rPr>
          <w:rFonts w:ascii="Arial" w:eastAsia="Arial" w:hAnsi="Arial" w:cs="Arial"/>
          <w:sz w:val="20"/>
          <w:szCs w:val="20"/>
          <w:lang w:eastAsia="zh-CN"/>
        </w:rPr>
        <w:t xml:space="preserve">selection </w:t>
      </w:r>
      <w:r w:rsidR="0096715D" w:rsidRPr="00CE3AA2">
        <w:rPr>
          <w:rFonts w:ascii="Arial" w:eastAsia="Arial" w:hAnsi="Arial" w:cs="Arial"/>
          <w:sz w:val="20"/>
          <w:szCs w:val="20"/>
          <w:lang w:eastAsia="zh-CN"/>
        </w:rPr>
        <w:t>criteria</w:t>
      </w:r>
      <w:r w:rsidR="00F040AC">
        <w:rPr>
          <w:rStyle w:val="FootnoteReference"/>
          <w:rFonts w:ascii="Arial" w:eastAsia="Arial" w:hAnsi="Arial" w:cs="Arial"/>
          <w:sz w:val="20"/>
          <w:szCs w:val="20"/>
          <w:lang w:eastAsia="zh-CN"/>
        </w:rPr>
        <w:footnoteReference w:id="4"/>
      </w:r>
      <w:r w:rsidRPr="00CE3AA2">
        <w:rPr>
          <w:rFonts w:ascii="Arial" w:eastAsia="Arial" w:hAnsi="Arial" w:cs="Arial"/>
          <w:sz w:val="20"/>
          <w:szCs w:val="20"/>
          <w:lang w:eastAsia="zh-CN"/>
        </w:rPr>
        <w:t>, and all projects are subsequently submitted to the HC for final approval. The total sector budgets are calculated as the sum of the approved project budgets. The total budget, as listed in the HRP and financial tracking service (FTS), is the sum of all sector budgets. Main responsibility for costing lies with Agencies</w:t>
      </w:r>
      <w:r w:rsidR="004F2D0C">
        <w:rPr>
          <w:rFonts w:ascii="Arial" w:eastAsia="Arial" w:hAnsi="Arial" w:cs="Arial"/>
          <w:sz w:val="20"/>
          <w:szCs w:val="20"/>
          <w:lang w:eastAsia="zh-CN"/>
        </w:rPr>
        <w:t xml:space="preserve"> and (I)NGOs</w:t>
      </w:r>
      <w:r w:rsidRPr="00CE3AA2">
        <w:rPr>
          <w:rFonts w:ascii="Arial" w:eastAsia="Arial" w:hAnsi="Arial" w:cs="Arial"/>
          <w:sz w:val="20"/>
          <w:szCs w:val="20"/>
          <w:lang w:eastAsia="zh-CN"/>
        </w:rPr>
        <w:t>, vetting process lies with the Clusters</w:t>
      </w:r>
    </w:p>
    <w:p w:rsidR="00CE3AA2" w:rsidRPr="00CE3AA2" w:rsidRDefault="00CE3AA2" w:rsidP="00CE3AA2">
      <w:pPr>
        <w:keepNext/>
        <w:keepLines/>
        <w:widowControl w:val="0"/>
        <w:spacing w:before="200" w:after="0" w:line="240" w:lineRule="auto"/>
        <w:ind w:left="0" w:firstLine="0"/>
        <w:jc w:val="left"/>
        <w:outlineLvl w:val="2"/>
        <w:rPr>
          <w:rFonts w:ascii="Calibri" w:eastAsia="Calibri" w:hAnsi="Calibri" w:cs="Calibri"/>
          <w:b/>
          <w:color w:val="5B9BD5"/>
          <w:sz w:val="24"/>
          <w:szCs w:val="24"/>
          <w:lang w:eastAsia="zh-CN"/>
        </w:rPr>
      </w:pPr>
      <w:r w:rsidRPr="00CE3AA2">
        <w:rPr>
          <w:rFonts w:ascii="Calibri" w:eastAsia="Calibri" w:hAnsi="Calibri" w:cs="Calibri"/>
          <w:b/>
          <w:color w:val="5B9BD5"/>
          <w:sz w:val="24"/>
          <w:szCs w:val="24"/>
          <w:lang w:eastAsia="zh-CN"/>
        </w:rPr>
        <w:lastRenderedPageBreak/>
        <w:t>Advantages</w:t>
      </w:r>
    </w:p>
    <w:p w:rsidR="002B3960" w:rsidRPr="00892B38" w:rsidRDefault="002B3960" w:rsidP="00DD4038">
      <w:pPr>
        <w:widowControl w:val="0"/>
        <w:numPr>
          <w:ilvl w:val="0"/>
          <w:numId w:val="31"/>
        </w:numPr>
        <w:spacing w:after="0" w:line="276" w:lineRule="auto"/>
        <w:ind w:left="426" w:hanging="284"/>
        <w:contextualSpacing/>
        <w:jc w:val="left"/>
        <w:rPr>
          <w:rFonts w:ascii="Arial" w:eastAsia="Arial" w:hAnsi="Arial" w:cs="Arial"/>
          <w:sz w:val="20"/>
          <w:szCs w:val="20"/>
          <w:lang w:eastAsia="zh-CN"/>
        </w:rPr>
      </w:pPr>
      <w:r w:rsidRPr="00892B38">
        <w:rPr>
          <w:rFonts w:ascii="Arial" w:eastAsia="Arial" w:hAnsi="Arial" w:cs="Arial"/>
          <w:sz w:val="20"/>
          <w:szCs w:val="20"/>
          <w:lang w:eastAsia="zh-CN"/>
        </w:rPr>
        <w:t>Already familiar to UN agencies and NGOs.</w:t>
      </w:r>
    </w:p>
    <w:p w:rsidR="00CE3AA2" w:rsidRPr="00DF35CE" w:rsidRDefault="00CE3AA2" w:rsidP="00CE3AA2">
      <w:pPr>
        <w:widowControl w:val="0"/>
        <w:numPr>
          <w:ilvl w:val="0"/>
          <w:numId w:val="31"/>
        </w:numPr>
        <w:spacing w:after="0" w:line="276" w:lineRule="auto"/>
        <w:ind w:left="426" w:hanging="284"/>
        <w:contextualSpacing/>
        <w:jc w:val="left"/>
        <w:rPr>
          <w:rFonts w:ascii="Arial" w:eastAsia="Arial" w:hAnsi="Arial"/>
          <w:sz w:val="20"/>
        </w:rPr>
      </w:pPr>
      <w:r w:rsidRPr="00CE3AA2">
        <w:rPr>
          <w:rFonts w:ascii="Arial" w:eastAsia="Arial" w:hAnsi="Arial" w:cs="Arial"/>
          <w:sz w:val="20"/>
          <w:szCs w:val="20"/>
          <w:lang w:eastAsia="zh-CN"/>
        </w:rPr>
        <w:t>Peer-review of projects strengthens sector internal dynamics and allows for quality check of submissions, and for coherence with sector response plans.</w:t>
      </w:r>
    </w:p>
    <w:p w:rsidR="00CE3AA2" w:rsidRPr="00DF35CE" w:rsidRDefault="00CE3AA2" w:rsidP="00CE3AA2">
      <w:pPr>
        <w:widowControl w:val="0"/>
        <w:numPr>
          <w:ilvl w:val="0"/>
          <w:numId w:val="33"/>
        </w:numPr>
        <w:spacing w:after="0" w:line="240" w:lineRule="auto"/>
        <w:ind w:left="426" w:hanging="284"/>
        <w:jc w:val="left"/>
        <w:rPr>
          <w:rFonts w:ascii="Arial" w:eastAsia="Arial" w:hAnsi="Arial"/>
          <w:sz w:val="20"/>
        </w:rPr>
      </w:pPr>
      <w:r w:rsidRPr="00CE3AA2">
        <w:rPr>
          <w:rFonts w:ascii="Arial" w:eastAsia="Arial" w:hAnsi="Arial" w:cs="Arial"/>
          <w:sz w:val="20"/>
          <w:szCs w:val="20"/>
          <w:lang w:eastAsia="zh-CN"/>
        </w:rPr>
        <w:t>This process provides an overview of response capacity. Looking at planned projects, sector coordinators have a vision of who is intending to do what where, which facilitates identification of potential gaps in the response, as well as duplication of projects.</w:t>
      </w:r>
    </w:p>
    <w:p w:rsidR="00CE3AA2" w:rsidRPr="00DF35CE" w:rsidRDefault="005874B9" w:rsidP="005874B9">
      <w:pPr>
        <w:widowControl w:val="0"/>
        <w:numPr>
          <w:ilvl w:val="0"/>
          <w:numId w:val="31"/>
        </w:numPr>
        <w:spacing w:after="0" w:line="276" w:lineRule="auto"/>
        <w:ind w:left="426" w:hanging="284"/>
        <w:contextualSpacing/>
        <w:jc w:val="left"/>
        <w:rPr>
          <w:rFonts w:ascii="Arial" w:eastAsia="Arial" w:hAnsi="Arial"/>
          <w:sz w:val="20"/>
        </w:rPr>
      </w:pPr>
      <w:r>
        <w:rPr>
          <w:rFonts w:ascii="Arial" w:eastAsia="Arial" w:hAnsi="Arial" w:cs="Arial"/>
          <w:sz w:val="20"/>
          <w:szCs w:val="20"/>
          <w:lang w:eastAsia="zh-CN"/>
        </w:rPr>
        <w:t xml:space="preserve">When well-coordinated, produces a solid picture of financial needs. Also, </w:t>
      </w:r>
      <w:r w:rsidR="00CE3AA2" w:rsidRPr="00CE3AA2">
        <w:rPr>
          <w:rFonts w:ascii="Arial" w:eastAsia="Arial" w:hAnsi="Arial" w:cs="Arial"/>
          <w:sz w:val="20"/>
          <w:szCs w:val="20"/>
          <w:lang w:eastAsia="zh-CN"/>
        </w:rPr>
        <w:t>provides visibility to participating organisations vis-à-vis donors. This gives donors easy access to information about organisations on the ground to facilitate their funding decisions.</w:t>
      </w:r>
    </w:p>
    <w:p w:rsidR="00CE3AA2" w:rsidRPr="00DF35CE" w:rsidRDefault="00CE3AA2" w:rsidP="00CE3AA2">
      <w:pPr>
        <w:widowControl w:val="0"/>
        <w:numPr>
          <w:ilvl w:val="0"/>
          <w:numId w:val="31"/>
        </w:numPr>
        <w:spacing w:after="0" w:line="276" w:lineRule="auto"/>
        <w:ind w:left="426" w:hanging="284"/>
        <w:contextualSpacing/>
        <w:jc w:val="left"/>
        <w:rPr>
          <w:rFonts w:ascii="Arial" w:eastAsia="Arial" w:hAnsi="Arial"/>
          <w:sz w:val="20"/>
        </w:rPr>
      </w:pPr>
      <w:r w:rsidRPr="00CE3AA2">
        <w:rPr>
          <w:rFonts w:ascii="Arial" w:eastAsia="Arial" w:hAnsi="Arial" w:cs="Arial"/>
          <w:sz w:val="20"/>
          <w:szCs w:val="20"/>
          <w:lang w:eastAsia="zh-CN"/>
        </w:rPr>
        <w:t>Financial tracking is simplified with projects registered in the OPS database, clearly indicating which organisations are participating in the HRP, in which sector and for which activities.</w:t>
      </w:r>
    </w:p>
    <w:p w:rsidR="00361EFC" w:rsidRPr="00C52791" w:rsidRDefault="003539EE" w:rsidP="00361EFC">
      <w:pPr>
        <w:pStyle w:val="ListParagraph"/>
        <w:numPr>
          <w:ilvl w:val="0"/>
          <w:numId w:val="9"/>
        </w:numPr>
        <w:spacing w:before="0"/>
        <w:contextualSpacing w:val="0"/>
        <w:jc w:val="left"/>
        <w:rPr>
          <w:lang w:val="en-GB"/>
        </w:rPr>
      </w:pPr>
      <w:r>
        <w:rPr>
          <w:rFonts w:ascii="Arial" w:eastAsia="Arial" w:hAnsi="Arial" w:cs="Arial"/>
          <w:sz w:val="20"/>
          <w:szCs w:val="20"/>
          <w:lang w:eastAsia="zh-CN"/>
        </w:rPr>
        <w:t xml:space="preserve">Does not require specific </w:t>
      </w:r>
      <w:r w:rsidR="00A72F4B">
        <w:rPr>
          <w:rFonts w:ascii="Arial" w:eastAsia="Arial" w:hAnsi="Arial" w:cs="Arial"/>
          <w:sz w:val="20"/>
          <w:szCs w:val="20"/>
          <w:lang w:eastAsia="zh-CN"/>
        </w:rPr>
        <w:t xml:space="preserve">programming </w:t>
      </w:r>
      <w:r>
        <w:rPr>
          <w:rFonts w:ascii="Arial" w:eastAsia="Arial" w:hAnsi="Arial" w:cs="Arial"/>
          <w:sz w:val="20"/>
          <w:szCs w:val="20"/>
          <w:lang w:eastAsia="zh-CN"/>
        </w:rPr>
        <w:t>expertise from clusters/sectors</w:t>
      </w:r>
      <w:r w:rsidR="00A72F4B">
        <w:rPr>
          <w:rFonts w:ascii="Arial" w:eastAsia="Arial" w:hAnsi="Arial" w:cs="Arial"/>
          <w:sz w:val="20"/>
          <w:szCs w:val="20"/>
          <w:lang w:eastAsia="zh-CN"/>
        </w:rPr>
        <w:t xml:space="preserve"> to estimate budgets/ cost individual activities.</w:t>
      </w:r>
      <w:r w:rsidR="00361EFC" w:rsidRPr="00361EFC">
        <w:rPr>
          <w:lang w:val="en-GB"/>
        </w:rPr>
        <w:t xml:space="preserve"> </w:t>
      </w:r>
    </w:p>
    <w:p w:rsidR="0096715D" w:rsidRPr="0096715D" w:rsidRDefault="00CE3AA2" w:rsidP="00FA0457">
      <w:pPr>
        <w:keepNext/>
        <w:keepLines/>
        <w:widowControl w:val="0"/>
        <w:spacing w:before="200" w:after="0" w:line="240" w:lineRule="auto"/>
        <w:ind w:left="0" w:firstLine="0"/>
        <w:jc w:val="left"/>
        <w:outlineLvl w:val="2"/>
        <w:rPr>
          <w:rFonts w:ascii="Calibri" w:eastAsia="Calibri" w:hAnsi="Calibri" w:cs="Calibri"/>
          <w:sz w:val="20"/>
          <w:szCs w:val="20"/>
          <w:lang w:eastAsia="zh-CN"/>
        </w:rPr>
      </w:pPr>
      <w:r w:rsidRPr="00CE3AA2">
        <w:rPr>
          <w:rFonts w:ascii="Calibri" w:eastAsia="Calibri" w:hAnsi="Calibri" w:cs="Calibri"/>
          <w:b/>
          <w:color w:val="5B9BD5"/>
          <w:sz w:val="24"/>
          <w:szCs w:val="24"/>
          <w:lang w:eastAsia="zh-CN"/>
        </w:rPr>
        <w:t>Disadvantages</w:t>
      </w:r>
    </w:p>
    <w:p w:rsidR="0096715D" w:rsidRPr="00892B38" w:rsidRDefault="0096715D" w:rsidP="006246D3">
      <w:pPr>
        <w:widowControl w:val="0"/>
        <w:numPr>
          <w:ilvl w:val="0"/>
          <w:numId w:val="31"/>
        </w:numPr>
        <w:spacing w:after="0" w:line="276" w:lineRule="auto"/>
        <w:ind w:left="426" w:hanging="284"/>
        <w:contextualSpacing/>
        <w:jc w:val="left"/>
        <w:rPr>
          <w:rFonts w:ascii="Arial" w:eastAsia="Arial" w:hAnsi="Arial" w:cs="Arial"/>
          <w:sz w:val="20"/>
          <w:szCs w:val="20"/>
          <w:lang w:eastAsia="zh-CN"/>
        </w:rPr>
      </w:pPr>
      <w:r w:rsidRPr="00892B38">
        <w:rPr>
          <w:rFonts w:ascii="Arial" w:eastAsia="Arial" w:hAnsi="Arial" w:cs="Arial"/>
          <w:sz w:val="20"/>
          <w:szCs w:val="20"/>
          <w:lang w:eastAsia="zh-CN"/>
        </w:rPr>
        <w:t>The process can be time consuming and heavy, especially for organisations who have already secured funding.</w:t>
      </w:r>
    </w:p>
    <w:p w:rsidR="0096715D" w:rsidRPr="00892B38" w:rsidRDefault="0096715D" w:rsidP="006246D3">
      <w:pPr>
        <w:widowControl w:val="0"/>
        <w:numPr>
          <w:ilvl w:val="0"/>
          <w:numId w:val="31"/>
        </w:numPr>
        <w:spacing w:after="0" w:line="276" w:lineRule="auto"/>
        <w:ind w:left="426" w:hanging="284"/>
        <w:contextualSpacing/>
        <w:jc w:val="left"/>
        <w:rPr>
          <w:rFonts w:ascii="Arial" w:eastAsia="Arial" w:hAnsi="Arial" w:cs="Arial"/>
          <w:sz w:val="20"/>
          <w:szCs w:val="20"/>
          <w:lang w:eastAsia="zh-CN"/>
        </w:rPr>
      </w:pPr>
      <w:r w:rsidRPr="00892B38">
        <w:rPr>
          <w:rFonts w:ascii="Arial" w:eastAsia="Arial" w:hAnsi="Arial" w:cs="Arial"/>
          <w:sz w:val="20"/>
          <w:szCs w:val="20"/>
          <w:lang w:eastAsia="zh-CN"/>
        </w:rPr>
        <w:t>Aggregate of projects rather tha</w:t>
      </w:r>
      <w:r>
        <w:rPr>
          <w:rFonts w:ascii="Arial" w:eastAsia="Arial" w:hAnsi="Arial" w:cs="Arial"/>
          <w:sz w:val="20"/>
          <w:szCs w:val="20"/>
          <w:lang w:eastAsia="zh-CN"/>
        </w:rPr>
        <w:t>n</w:t>
      </w:r>
      <w:r w:rsidRPr="00892B38">
        <w:rPr>
          <w:rFonts w:ascii="Arial" w:eastAsia="Arial" w:hAnsi="Arial" w:cs="Arial"/>
          <w:sz w:val="20"/>
          <w:szCs w:val="20"/>
          <w:lang w:eastAsia="zh-CN"/>
        </w:rPr>
        <w:t xml:space="preserve"> a coherent picture of needs of affected populations</w:t>
      </w:r>
    </w:p>
    <w:p w:rsidR="0096715D" w:rsidRPr="00892B38" w:rsidRDefault="0096715D" w:rsidP="006246D3">
      <w:pPr>
        <w:widowControl w:val="0"/>
        <w:numPr>
          <w:ilvl w:val="0"/>
          <w:numId w:val="31"/>
        </w:numPr>
        <w:spacing w:after="0" w:line="276" w:lineRule="auto"/>
        <w:ind w:left="426" w:hanging="284"/>
        <w:contextualSpacing/>
        <w:jc w:val="left"/>
        <w:rPr>
          <w:rFonts w:ascii="Arial" w:eastAsia="Arial" w:hAnsi="Arial" w:cs="Arial"/>
          <w:sz w:val="20"/>
          <w:szCs w:val="20"/>
          <w:lang w:eastAsia="zh-CN"/>
        </w:rPr>
      </w:pPr>
      <w:r w:rsidRPr="00892B38">
        <w:rPr>
          <w:rFonts w:ascii="Arial" w:eastAsia="Arial" w:hAnsi="Arial" w:cs="Arial"/>
          <w:sz w:val="20"/>
          <w:szCs w:val="20"/>
          <w:lang w:eastAsia="zh-CN"/>
        </w:rPr>
        <w:t xml:space="preserve">Lacks transparency and cost comparability </w:t>
      </w:r>
      <w:r w:rsidR="00356136">
        <w:rPr>
          <w:rFonts w:ascii="Arial" w:eastAsia="Arial" w:hAnsi="Arial" w:cs="Arial"/>
          <w:sz w:val="20"/>
          <w:szCs w:val="20"/>
          <w:lang w:eastAsia="zh-CN"/>
        </w:rPr>
        <w:t xml:space="preserve">within projects </w:t>
      </w:r>
      <w:r w:rsidRPr="00892B38">
        <w:rPr>
          <w:rFonts w:ascii="Arial" w:eastAsia="Arial" w:hAnsi="Arial" w:cs="Arial"/>
          <w:sz w:val="20"/>
          <w:szCs w:val="20"/>
          <w:lang w:eastAsia="zh-CN"/>
        </w:rPr>
        <w:t>to facilitate better cost effectiveness</w:t>
      </w:r>
    </w:p>
    <w:p w:rsidR="00CE3AA2" w:rsidRPr="00892B38" w:rsidRDefault="00CE3AA2" w:rsidP="006246D3">
      <w:pPr>
        <w:widowControl w:val="0"/>
        <w:numPr>
          <w:ilvl w:val="0"/>
          <w:numId w:val="31"/>
        </w:numPr>
        <w:spacing w:after="0" w:line="276" w:lineRule="auto"/>
        <w:ind w:left="426" w:hanging="284"/>
        <w:contextualSpacing/>
        <w:jc w:val="left"/>
        <w:rPr>
          <w:rFonts w:ascii="Arial" w:eastAsia="Arial" w:hAnsi="Arial" w:cs="Arial"/>
          <w:sz w:val="20"/>
          <w:szCs w:val="20"/>
          <w:lang w:eastAsia="zh-CN"/>
        </w:rPr>
      </w:pPr>
      <w:r w:rsidRPr="00CE3AA2">
        <w:rPr>
          <w:rFonts w:ascii="Arial" w:eastAsia="Arial" w:hAnsi="Arial" w:cs="Arial"/>
          <w:sz w:val="20"/>
          <w:szCs w:val="20"/>
          <w:lang w:eastAsia="zh-CN"/>
        </w:rPr>
        <w:t>The process can be lengthy and seen as static, and revising projects can be seen as cumbersome</w:t>
      </w:r>
      <w:r w:rsidR="001D57D5">
        <w:rPr>
          <w:rFonts w:ascii="Arial" w:eastAsia="Arial" w:hAnsi="Arial" w:cs="Arial"/>
          <w:sz w:val="20"/>
          <w:szCs w:val="20"/>
          <w:lang w:eastAsia="zh-CN"/>
        </w:rPr>
        <w:t>, thereby discouraging country teams of updating the financial ask in changes in the situation.</w:t>
      </w:r>
      <w:r w:rsidRPr="00CE3AA2">
        <w:rPr>
          <w:rFonts w:ascii="Arial" w:eastAsia="Arial" w:hAnsi="Arial" w:cs="Arial"/>
          <w:sz w:val="20"/>
          <w:szCs w:val="20"/>
          <w:lang w:eastAsia="zh-CN"/>
        </w:rPr>
        <w:t xml:space="preserve"> </w:t>
      </w:r>
    </w:p>
    <w:p w:rsidR="00CE3AA2" w:rsidRPr="00892B38" w:rsidRDefault="00CE3AA2" w:rsidP="006246D3">
      <w:pPr>
        <w:widowControl w:val="0"/>
        <w:numPr>
          <w:ilvl w:val="0"/>
          <w:numId w:val="31"/>
        </w:numPr>
        <w:spacing w:after="0" w:line="276" w:lineRule="auto"/>
        <w:ind w:left="426" w:hanging="284"/>
        <w:contextualSpacing/>
        <w:jc w:val="left"/>
        <w:rPr>
          <w:rFonts w:ascii="Arial" w:eastAsia="Arial" w:hAnsi="Arial" w:cs="Arial"/>
          <w:sz w:val="20"/>
          <w:szCs w:val="20"/>
          <w:lang w:eastAsia="zh-CN"/>
        </w:rPr>
      </w:pPr>
      <w:r w:rsidRPr="00CE3AA2">
        <w:rPr>
          <w:rFonts w:ascii="Arial" w:eastAsia="Arial" w:hAnsi="Arial" w:cs="Arial"/>
          <w:sz w:val="20"/>
          <w:szCs w:val="20"/>
          <w:lang w:eastAsia="zh-CN"/>
        </w:rPr>
        <w:t>The approach may lead to over-budgeting as organisations inflate funding needs to cover their project costs.</w:t>
      </w:r>
    </w:p>
    <w:p w:rsidR="001D57D5" w:rsidRPr="00FA0457" w:rsidRDefault="001D57D5" w:rsidP="006246D3">
      <w:pPr>
        <w:widowControl w:val="0"/>
        <w:numPr>
          <w:ilvl w:val="0"/>
          <w:numId w:val="31"/>
        </w:numPr>
        <w:spacing w:after="0" w:line="276" w:lineRule="auto"/>
        <w:ind w:left="426" w:hanging="284"/>
        <w:contextualSpacing/>
        <w:jc w:val="left"/>
        <w:rPr>
          <w:rFonts w:ascii="Arial" w:eastAsia="Arial" w:hAnsi="Arial" w:cs="Arial"/>
          <w:sz w:val="20"/>
          <w:szCs w:val="20"/>
          <w:lang w:eastAsia="zh-CN"/>
        </w:rPr>
      </w:pPr>
      <w:r>
        <w:rPr>
          <w:rFonts w:ascii="Arial" w:eastAsia="Arial" w:hAnsi="Arial" w:cs="Arial"/>
          <w:sz w:val="20"/>
          <w:szCs w:val="20"/>
          <w:lang w:eastAsia="zh-CN"/>
        </w:rPr>
        <w:t>Local partners may be discouraged from participating in the process due to difficulties with OPS.</w:t>
      </w:r>
    </w:p>
    <w:p w:rsidR="004601B1" w:rsidRPr="00FA0457" w:rsidRDefault="004601B1" w:rsidP="00FA0457">
      <w:pPr>
        <w:widowControl w:val="0"/>
        <w:numPr>
          <w:ilvl w:val="0"/>
          <w:numId w:val="31"/>
        </w:numPr>
        <w:spacing w:after="0" w:line="276" w:lineRule="auto"/>
        <w:ind w:left="426" w:hanging="284"/>
        <w:contextualSpacing/>
        <w:jc w:val="left"/>
        <w:rPr>
          <w:rFonts w:ascii="Arial" w:eastAsia="Arial" w:hAnsi="Arial" w:cs="Arial"/>
          <w:sz w:val="20"/>
          <w:szCs w:val="20"/>
          <w:lang w:eastAsia="zh-CN"/>
        </w:rPr>
      </w:pPr>
      <w:r w:rsidRPr="00FA0457">
        <w:rPr>
          <w:rFonts w:ascii="Arial" w:eastAsia="Arial" w:hAnsi="Arial" w:cs="Arial"/>
          <w:sz w:val="20"/>
          <w:szCs w:val="20"/>
          <w:lang w:eastAsia="zh-CN"/>
        </w:rPr>
        <w:t xml:space="preserve">The process is </w:t>
      </w:r>
      <w:r w:rsidR="00DD4038" w:rsidRPr="00FA0457">
        <w:rPr>
          <w:rFonts w:ascii="Arial" w:eastAsia="Arial" w:hAnsi="Arial" w:cs="Arial"/>
          <w:sz w:val="20"/>
          <w:szCs w:val="20"/>
          <w:lang w:eastAsia="zh-CN"/>
        </w:rPr>
        <w:t>less</w:t>
      </w:r>
      <w:r w:rsidRPr="00FA0457">
        <w:rPr>
          <w:rFonts w:ascii="Arial" w:eastAsia="Arial" w:hAnsi="Arial" w:cs="Arial"/>
          <w:sz w:val="20"/>
          <w:szCs w:val="20"/>
          <w:lang w:eastAsia="zh-CN"/>
        </w:rPr>
        <w:t xml:space="preserve"> suitable for a sudden onset emergency </w:t>
      </w:r>
      <w:r w:rsidR="00FA0457" w:rsidRPr="00FA0457">
        <w:rPr>
          <w:rFonts w:ascii="Arial" w:eastAsia="Arial" w:hAnsi="Arial" w:cs="Arial"/>
          <w:sz w:val="20"/>
          <w:szCs w:val="20"/>
          <w:lang w:eastAsia="zh-CN"/>
        </w:rPr>
        <w:t>(i.e.</w:t>
      </w:r>
      <w:r w:rsidRPr="00FA0457">
        <w:rPr>
          <w:rFonts w:ascii="Arial" w:eastAsia="Arial" w:hAnsi="Arial" w:cs="Arial"/>
          <w:sz w:val="20"/>
          <w:szCs w:val="20"/>
          <w:lang w:eastAsia="zh-CN"/>
        </w:rPr>
        <w:t xml:space="preserve"> Flash Appeal)</w:t>
      </w:r>
    </w:p>
    <w:p w:rsidR="0096715D" w:rsidRPr="00CE3AA2" w:rsidRDefault="0096715D" w:rsidP="00892B38">
      <w:pPr>
        <w:widowControl w:val="0"/>
        <w:spacing w:after="0" w:line="276" w:lineRule="auto"/>
        <w:ind w:left="426" w:firstLine="0"/>
        <w:contextualSpacing/>
        <w:jc w:val="left"/>
        <w:rPr>
          <w:rFonts w:ascii="Calibri" w:eastAsia="Calibri" w:hAnsi="Calibri" w:cs="Calibri"/>
          <w:sz w:val="20"/>
          <w:szCs w:val="20"/>
          <w:lang w:eastAsia="zh-CN"/>
        </w:rPr>
      </w:pPr>
    </w:p>
    <w:p w:rsidR="00CE3AA2" w:rsidRPr="00CE3AA2" w:rsidRDefault="00C37511" w:rsidP="00CE3AA2">
      <w:pPr>
        <w:keepNext/>
        <w:keepLines/>
        <w:widowControl w:val="0"/>
        <w:numPr>
          <w:ilvl w:val="0"/>
          <w:numId w:val="32"/>
        </w:numPr>
        <w:spacing w:before="240" w:after="40" w:line="276" w:lineRule="auto"/>
        <w:jc w:val="left"/>
        <w:outlineLvl w:val="1"/>
        <w:rPr>
          <w:rFonts w:ascii="Arial" w:eastAsia="Arial" w:hAnsi="Arial" w:cs="Arial"/>
          <w:b/>
          <w:color w:val="5B9BD5"/>
          <w:sz w:val="32"/>
          <w:szCs w:val="32"/>
          <w:lang w:eastAsia="zh-CN"/>
        </w:rPr>
      </w:pPr>
      <w:r>
        <w:rPr>
          <w:rFonts w:ascii="Arial" w:eastAsia="Arial" w:hAnsi="Arial" w:cs="Arial"/>
          <w:b/>
          <w:color w:val="5B9BD5"/>
          <w:sz w:val="32"/>
          <w:szCs w:val="32"/>
          <w:lang w:eastAsia="zh-CN"/>
        </w:rPr>
        <w:t>Unit-</w:t>
      </w:r>
      <w:r w:rsidR="0096715D">
        <w:rPr>
          <w:rFonts w:ascii="Arial" w:eastAsia="Arial" w:hAnsi="Arial" w:cs="Arial"/>
          <w:b/>
          <w:color w:val="5B9BD5"/>
          <w:sz w:val="32"/>
          <w:szCs w:val="32"/>
          <w:lang w:eastAsia="zh-CN"/>
        </w:rPr>
        <w:t xml:space="preserve">based </w:t>
      </w:r>
      <w:r w:rsidR="00CE3AA2" w:rsidRPr="00CE3AA2">
        <w:rPr>
          <w:rFonts w:ascii="Arial" w:eastAsia="Arial" w:hAnsi="Arial" w:cs="Arial"/>
          <w:b/>
          <w:color w:val="5B9BD5"/>
          <w:sz w:val="32"/>
          <w:szCs w:val="32"/>
          <w:lang w:eastAsia="zh-CN"/>
        </w:rPr>
        <w:t>costing</w:t>
      </w:r>
    </w:p>
    <w:p w:rsidR="00CE3AA2" w:rsidRPr="00CE3AA2" w:rsidRDefault="00CE3AA2" w:rsidP="00CE3AA2">
      <w:pPr>
        <w:keepNext/>
        <w:keepLines/>
        <w:widowControl w:val="0"/>
        <w:spacing w:before="200" w:after="0" w:line="240" w:lineRule="auto"/>
        <w:ind w:left="0" w:firstLine="0"/>
        <w:jc w:val="left"/>
        <w:outlineLvl w:val="2"/>
        <w:rPr>
          <w:rFonts w:ascii="Calibri" w:eastAsia="Calibri" w:hAnsi="Calibri" w:cs="Calibri"/>
          <w:b/>
          <w:color w:val="5B9BD5"/>
          <w:sz w:val="24"/>
          <w:szCs w:val="24"/>
          <w:lang w:eastAsia="zh-CN"/>
        </w:rPr>
      </w:pPr>
      <w:r w:rsidRPr="00CE3AA2">
        <w:rPr>
          <w:rFonts w:ascii="Calibri" w:eastAsia="Calibri" w:hAnsi="Calibri" w:cs="Calibri"/>
          <w:b/>
          <w:color w:val="5B9BD5"/>
          <w:sz w:val="24"/>
          <w:szCs w:val="24"/>
          <w:lang w:eastAsia="zh-CN"/>
        </w:rPr>
        <w:t>Preconditions</w:t>
      </w:r>
    </w:p>
    <w:p w:rsidR="00CE3AA2" w:rsidRPr="00DF35CE" w:rsidRDefault="00CE3AA2" w:rsidP="00FA0457">
      <w:pPr>
        <w:widowControl w:val="0"/>
        <w:numPr>
          <w:ilvl w:val="0"/>
          <w:numId w:val="31"/>
        </w:numPr>
        <w:spacing w:after="0" w:line="276" w:lineRule="auto"/>
        <w:ind w:left="426" w:hanging="284"/>
        <w:contextualSpacing/>
        <w:jc w:val="left"/>
        <w:rPr>
          <w:rFonts w:ascii="Arial" w:eastAsia="Arial" w:hAnsi="Arial"/>
          <w:sz w:val="20"/>
        </w:rPr>
      </w:pPr>
      <w:r w:rsidRPr="00CE3AA2">
        <w:rPr>
          <w:rFonts w:ascii="Arial" w:eastAsia="Arial" w:hAnsi="Arial" w:cs="Arial"/>
          <w:sz w:val="20"/>
          <w:szCs w:val="20"/>
          <w:lang w:eastAsia="zh-CN"/>
        </w:rPr>
        <w:t>Buy-in from all sectors and agencies ahead of the planning process.</w:t>
      </w:r>
    </w:p>
    <w:p w:rsidR="00CE3AA2" w:rsidRPr="00DF35CE" w:rsidRDefault="00CE3AA2" w:rsidP="00FA0457">
      <w:pPr>
        <w:widowControl w:val="0"/>
        <w:numPr>
          <w:ilvl w:val="0"/>
          <w:numId w:val="31"/>
        </w:numPr>
        <w:spacing w:after="0" w:line="276" w:lineRule="auto"/>
        <w:ind w:left="426" w:hanging="284"/>
        <w:contextualSpacing/>
        <w:jc w:val="left"/>
        <w:rPr>
          <w:rFonts w:ascii="Arial" w:eastAsia="Arial" w:hAnsi="Arial"/>
          <w:sz w:val="20"/>
        </w:rPr>
      </w:pPr>
      <w:r w:rsidRPr="00CE3AA2">
        <w:rPr>
          <w:rFonts w:ascii="Arial" w:eastAsia="Arial" w:hAnsi="Arial" w:cs="Arial"/>
          <w:sz w:val="20"/>
          <w:szCs w:val="20"/>
          <w:lang w:eastAsia="zh-CN"/>
        </w:rPr>
        <w:t>Agreement by partners and sectors to share minimum information on</w:t>
      </w:r>
      <w:r w:rsidR="00992A1A">
        <w:rPr>
          <w:rFonts w:ascii="Arial" w:eastAsia="Arial" w:hAnsi="Arial" w:cs="Arial"/>
          <w:sz w:val="20"/>
          <w:szCs w:val="20"/>
          <w:lang w:eastAsia="zh-CN"/>
        </w:rPr>
        <w:t xml:space="preserve"> participating partners and activities</w:t>
      </w:r>
      <w:r w:rsidRPr="00CE3AA2">
        <w:rPr>
          <w:rFonts w:ascii="Arial" w:eastAsia="Arial" w:hAnsi="Arial" w:cs="Arial"/>
          <w:sz w:val="20"/>
          <w:szCs w:val="20"/>
          <w:lang w:eastAsia="zh-CN"/>
        </w:rPr>
        <w:t xml:space="preserve"> implemented within the HRP framework with OCHA in order to enable response monitoring and financial tracking.</w:t>
      </w:r>
      <w:r w:rsidR="004F2D0C">
        <w:rPr>
          <w:rFonts w:ascii="Arial" w:eastAsia="Arial" w:hAnsi="Arial" w:cs="Arial"/>
          <w:sz w:val="20"/>
          <w:szCs w:val="20"/>
          <w:lang w:eastAsia="zh-CN"/>
        </w:rPr>
        <w:t xml:space="preserve"> This would also include agreement on where/how this infor</w:t>
      </w:r>
      <w:r w:rsidR="00992A1A">
        <w:rPr>
          <w:rFonts w:ascii="Arial" w:eastAsia="Arial" w:hAnsi="Arial" w:cs="Arial"/>
          <w:sz w:val="20"/>
          <w:szCs w:val="20"/>
          <w:lang w:eastAsia="zh-CN"/>
        </w:rPr>
        <w:t>mation</w:t>
      </w:r>
      <w:r w:rsidR="004F2D0C">
        <w:rPr>
          <w:rFonts w:ascii="Arial" w:eastAsia="Arial" w:hAnsi="Arial" w:cs="Arial"/>
          <w:sz w:val="20"/>
          <w:szCs w:val="20"/>
          <w:lang w:eastAsia="zh-CN"/>
        </w:rPr>
        <w:t xml:space="preserve"> is stored/managed, and if made publicly available in some form</w:t>
      </w:r>
    </w:p>
    <w:p w:rsidR="00CE3AA2" w:rsidRPr="00DF35CE" w:rsidRDefault="00CE3AA2" w:rsidP="00FA0457">
      <w:pPr>
        <w:widowControl w:val="0"/>
        <w:numPr>
          <w:ilvl w:val="0"/>
          <w:numId w:val="31"/>
        </w:numPr>
        <w:spacing w:after="0" w:line="276" w:lineRule="auto"/>
        <w:ind w:left="426" w:hanging="284"/>
        <w:contextualSpacing/>
        <w:jc w:val="left"/>
        <w:rPr>
          <w:rFonts w:ascii="Arial" w:eastAsia="Arial" w:hAnsi="Arial"/>
          <w:sz w:val="20"/>
        </w:rPr>
      </w:pPr>
      <w:r w:rsidRPr="00CE3AA2">
        <w:rPr>
          <w:rFonts w:ascii="Arial" w:eastAsia="Arial" w:hAnsi="Arial" w:cs="Arial"/>
          <w:sz w:val="20"/>
          <w:szCs w:val="20"/>
          <w:lang w:eastAsia="zh-CN"/>
        </w:rPr>
        <w:t>Strong, functioning sectors to ensure sound, well-informed costing methodology</w:t>
      </w:r>
      <w:r w:rsidR="004F2D0C">
        <w:rPr>
          <w:rFonts w:ascii="Arial" w:eastAsia="Arial" w:hAnsi="Arial" w:cs="Arial"/>
          <w:sz w:val="20"/>
          <w:szCs w:val="20"/>
          <w:lang w:eastAsia="zh-CN"/>
        </w:rPr>
        <w:t xml:space="preserve"> and inclusive coordination in the absence of a closed list of projects and partners</w:t>
      </w:r>
      <w:r w:rsidR="00992A1A">
        <w:rPr>
          <w:rFonts w:ascii="Arial" w:eastAsia="Arial" w:hAnsi="Arial" w:cs="Arial"/>
          <w:sz w:val="20"/>
          <w:szCs w:val="20"/>
          <w:lang w:eastAsia="zh-CN"/>
        </w:rPr>
        <w:t>.</w:t>
      </w:r>
    </w:p>
    <w:p w:rsidR="00CE3AA2" w:rsidRPr="00DF35CE" w:rsidRDefault="00CE3AA2" w:rsidP="00FA0457">
      <w:pPr>
        <w:widowControl w:val="0"/>
        <w:numPr>
          <w:ilvl w:val="0"/>
          <w:numId w:val="31"/>
        </w:numPr>
        <w:spacing w:after="0" w:line="276" w:lineRule="auto"/>
        <w:ind w:left="426" w:hanging="284"/>
        <w:contextualSpacing/>
        <w:jc w:val="left"/>
        <w:rPr>
          <w:rFonts w:ascii="Arial" w:eastAsia="Arial" w:hAnsi="Arial"/>
          <w:sz w:val="20"/>
        </w:rPr>
      </w:pPr>
      <w:r w:rsidRPr="00356136">
        <w:rPr>
          <w:rFonts w:ascii="Arial" w:eastAsia="Arial" w:hAnsi="Arial" w:cs="Arial"/>
          <w:sz w:val="20"/>
          <w:szCs w:val="20"/>
          <w:lang w:eastAsia="zh-CN"/>
        </w:rPr>
        <w:t>HC leadership is required to apply this methodology</w:t>
      </w:r>
      <w:r w:rsidR="006246D3">
        <w:rPr>
          <w:rFonts w:ascii="Arial" w:eastAsia="Arial" w:hAnsi="Arial" w:cs="Arial"/>
          <w:sz w:val="20"/>
          <w:szCs w:val="20"/>
          <w:lang w:eastAsia="zh-CN"/>
        </w:rPr>
        <w:t xml:space="preserve"> </w:t>
      </w:r>
      <w:r w:rsidRPr="00356136">
        <w:rPr>
          <w:rFonts w:ascii="Arial" w:eastAsia="Arial" w:hAnsi="Arial" w:cs="Arial"/>
          <w:sz w:val="20"/>
          <w:szCs w:val="20"/>
          <w:lang w:eastAsia="zh-CN"/>
        </w:rPr>
        <w:t>across the sectors.</w:t>
      </w:r>
    </w:p>
    <w:p w:rsidR="00CE3AA2" w:rsidRPr="00DF35CE" w:rsidRDefault="00CE3AA2" w:rsidP="00FA0457">
      <w:pPr>
        <w:widowControl w:val="0"/>
        <w:numPr>
          <w:ilvl w:val="0"/>
          <w:numId w:val="31"/>
        </w:numPr>
        <w:spacing w:after="0" w:line="276" w:lineRule="auto"/>
        <w:ind w:left="426" w:hanging="284"/>
        <w:contextualSpacing/>
        <w:jc w:val="left"/>
        <w:rPr>
          <w:rFonts w:ascii="Arial" w:eastAsia="Arial" w:hAnsi="Arial"/>
          <w:sz w:val="20"/>
        </w:rPr>
      </w:pPr>
      <w:r w:rsidRPr="00CE3AA2">
        <w:rPr>
          <w:rFonts w:ascii="Arial" w:eastAsia="Arial" w:hAnsi="Arial" w:cs="Arial"/>
          <w:sz w:val="20"/>
          <w:szCs w:val="20"/>
          <w:lang w:eastAsia="zh-CN"/>
        </w:rPr>
        <w:t xml:space="preserve">Understanding within each sector on key principles of unit cost methodologies, and agreement to a coherent </w:t>
      </w:r>
      <w:r w:rsidR="005F2729">
        <w:rPr>
          <w:rFonts w:ascii="Arial" w:eastAsia="Arial" w:hAnsi="Arial" w:cs="Arial"/>
          <w:sz w:val="20"/>
          <w:szCs w:val="20"/>
          <w:lang w:eastAsia="zh-CN"/>
        </w:rPr>
        <w:t xml:space="preserve">approach </w:t>
      </w:r>
      <w:r w:rsidRPr="00CE3AA2">
        <w:rPr>
          <w:rFonts w:ascii="Arial" w:eastAsia="Arial" w:hAnsi="Arial" w:cs="Arial"/>
          <w:sz w:val="20"/>
          <w:szCs w:val="20"/>
          <w:lang w:eastAsia="zh-CN"/>
        </w:rPr>
        <w:t>within and across sector</w:t>
      </w:r>
      <w:r w:rsidR="005F2729">
        <w:rPr>
          <w:rFonts w:ascii="Arial" w:eastAsia="Arial" w:hAnsi="Arial" w:cs="Arial"/>
          <w:sz w:val="20"/>
          <w:szCs w:val="20"/>
          <w:lang w:eastAsia="zh-CN"/>
        </w:rPr>
        <w:t>s for</w:t>
      </w:r>
      <w:r w:rsidR="0096715D">
        <w:rPr>
          <w:rFonts w:ascii="Arial" w:eastAsia="Arial" w:hAnsi="Arial" w:cs="Arial"/>
          <w:sz w:val="20"/>
          <w:szCs w:val="20"/>
          <w:lang w:eastAsia="zh-CN"/>
        </w:rPr>
        <w:t xml:space="preserve"> </w:t>
      </w:r>
      <w:r w:rsidRPr="00CE3AA2">
        <w:rPr>
          <w:rFonts w:ascii="Arial" w:eastAsia="Arial" w:hAnsi="Arial" w:cs="Arial"/>
          <w:sz w:val="20"/>
          <w:szCs w:val="20"/>
          <w:lang w:eastAsia="zh-CN"/>
        </w:rPr>
        <w:t xml:space="preserve">costing </w:t>
      </w:r>
      <w:r w:rsidR="005F2729">
        <w:rPr>
          <w:rFonts w:ascii="Arial" w:eastAsia="Arial" w:hAnsi="Arial" w:cs="Arial"/>
          <w:sz w:val="20"/>
          <w:szCs w:val="20"/>
          <w:lang w:eastAsia="zh-CN"/>
        </w:rPr>
        <w:t xml:space="preserve">key activities/services and common cost </w:t>
      </w:r>
      <w:r w:rsidR="002B5CDB">
        <w:rPr>
          <w:rFonts w:ascii="Arial" w:eastAsia="Arial" w:hAnsi="Arial" w:cs="Arial"/>
          <w:sz w:val="20"/>
          <w:szCs w:val="20"/>
          <w:lang w:eastAsia="zh-CN"/>
        </w:rPr>
        <w:t xml:space="preserve">drivers </w:t>
      </w:r>
      <w:r w:rsidR="002B5CDB" w:rsidRPr="00CE3AA2">
        <w:rPr>
          <w:rFonts w:ascii="Arial" w:eastAsia="Arial" w:hAnsi="Arial" w:cs="Arial"/>
          <w:sz w:val="20"/>
          <w:szCs w:val="20"/>
          <w:lang w:eastAsia="zh-CN"/>
        </w:rPr>
        <w:t>(</w:t>
      </w:r>
      <w:r w:rsidR="00CD1DBE" w:rsidRPr="00892B38">
        <w:rPr>
          <w:rFonts w:ascii="Arial" w:eastAsia="Arial" w:hAnsi="Arial" w:cs="Arial"/>
          <w:sz w:val="20"/>
          <w:szCs w:val="20"/>
          <w:lang w:eastAsia="zh-CN"/>
        </w:rPr>
        <w:t>e.g. common elements across sectors like community-volunteers, transport etc.</w:t>
      </w:r>
      <w:r w:rsidRPr="00CE3AA2">
        <w:rPr>
          <w:rFonts w:ascii="Arial" w:eastAsia="Arial" w:hAnsi="Arial" w:cs="Arial"/>
          <w:sz w:val="20"/>
          <w:szCs w:val="20"/>
          <w:lang w:eastAsia="zh-CN"/>
        </w:rPr>
        <w:t>)</w:t>
      </w:r>
      <w:r w:rsidR="005F2729">
        <w:rPr>
          <w:rFonts w:ascii="Arial" w:eastAsia="Arial" w:hAnsi="Arial" w:cs="Arial"/>
          <w:sz w:val="20"/>
          <w:szCs w:val="20"/>
          <w:lang w:eastAsia="zh-CN"/>
        </w:rPr>
        <w:t xml:space="preserve"> and/or investment in bringing in technical expertise to bring all cluster coordination teams to a similar capacity to lead cluster/sector process</w:t>
      </w:r>
      <w:r w:rsidRPr="00CE3AA2">
        <w:rPr>
          <w:rFonts w:ascii="Arial" w:eastAsia="Arial" w:hAnsi="Arial" w:cs="Arial"/>
          <w:sz w:val="20"/>
          <w:szCs w:val="20"/>
          <w:lang w:eastAsia="zh-CN"/>
        </w:rPr>
        <w:t xml:space="preserve">. </w:t>
      </w:r>
    </w:p>
    <w:p w:rsidR="00CE3AA2" w:rsidRPr="00DF35CE" w:rsidRDefault="00CE3AA2" w:rsidP="00FA0457">
      <w:pPr>
        <w:widowControl w:val="0"/>
        <w:numPr>
          <w:ilvl w:val="0"/>
          <w:numId w:val="31"/>
        </w:numPr>
        <w:spacing w:after="0" w:line="276" w:lineRule="auto"/>
        <w:ind w:left="426" w:hanging="284"/>
        <w:contextualSpacing/>
        <w:jc w:val="left"/>
        <w:rPr>
          <w:rFonts w:ascii="Arial" w:eastAsia="Arial" w:hAnsi="Arial"/>
          <w:sz w:val="20"/>
        </w:rPr>
      </w:pPr>
      <w:r w:rsidRPr="00CE3AA2">
        <w:rPr>
          <w:rFonts w:ascii="Arial" w:eastAsia="Arial" w:hAnsi="Arial" w:cs="Arial"/>
          <w:sz w:val="20"/>
          <w:szCs w:val="20"/>
          <w:lang w:eastAsia="zh-CN"/>
        </w:rPr>
        <w:t xml:space="preserve">Solid baseline information on number of people in need and (unit/activity) prices is needed to generate trustworthy cost estimates that can be documented. </w:t>
      </w:r>
    </w:p>
    <w:p w:rsidR="00CE3AA2" w:rsidRPr="00DF35CE" w:rsidRDefault="00CE3AA2" w:rsidP="00FA0457">
      <w:pPr>
        <w:widowControl w:val="0"/>
        <w:numPr>
          <w:ilvl w:val="0"/>
          <w:numId w:val="31"/>
        </w:numPr>
        <w:spacing w:after="0" w:line="276" w:lineRule="auto"/>
        <w:ind w:left="426" w:hanging="284"/>
        <w:contextualSpacing/>
        <w:jc w:val="left"/>
        <w:rPr>
          <w:rFonts w:ascii="Arial" w:eastAsia="Arial" w:hAnsi="Arial"/>
          <w:sz w:val="20"/>
        </w:rPr>
      </w:pPr>
      <w:r w:rsidRPr="00CE3AA2">
        <w:rPr>
          <w:rFonts w:ascii="Arial" w:eastAsia="Arial" w:hAnsi="Arial" w:cs="Arial"/>
          <w:sz w:val="20"/>
          <w:szCs w:val="20"/>
          <w:lang w:eastAsia="zh-CN"/>
        </w:rPr>
        <w:t xml:space="preserve">The requisite amount of human resources for fully implementing the approach. </w:t>
      </w:r>
    </w:p>
    <w:p w:rsidR="00FF1F78" w:rsidRPr="00DF35CE" w:rsidRDefault="00EC1D1C" w:rsidP="00FA0457">
      <w:pPr>
        <w:widowControl w:val="0"/>
        <w:numPr>
          <w:ilvl w:val="0"/>
          <w:numId w:val="31"/>
        </w:numPr>
        <w:spacing w:after="0" w:line="276" w:lineRule="auto"/>
        <w:ind w:left="426" w:hanging="284"/>
        <w:contextualSpacing/>
        <w:jc w:val="left"/>
        <w:rPr>
          <w:rFonts w:ascii="Arial" w:eastAsia="Arial" w:hAnsi="Arial"/>
          <w:sz w:val="20"/>
        </w:rPr>
      </w:pPr>
      <w:r>
        <w:rPr>
          <w:rFonts w:ascii="Arial" w:eastAsia="Arial" w:hAnsi="Arial" w:cs="Arial"/>
          <w:sz w:val="20"/>
          <w:szCs w:val="20"/>
          <w:lang w:eastAsia="zh-CN"/>
        </w:rPr>
        <w:t xml:space="preserve">A simplified approach to unit costing can be applied in sudden onset situations </w:t>
      </w:r>
      <w:r w:rsidR="001D57D5">
        <w:rPr>
          <w:rFonts w:ascii="Arial" w:eastAsia="Arial" w:hAnsi="Arial" w:cs="Arial"/>
          <w:sz w:val="20"/>
          <w:szCs w:val="20"/>
          <w:lang w:eastAsia="zh-CN"/>
        </w:rPr>
        <w:t>to enable a timely production of Flash Appeals. This should then be followed by a more evidence-based, documented unit costing methodology</w:t>
      </w:r>
      <w:r w:rsidR="009F0828">
        <w:rPr>
          <w:rFonts w:ascii="Arial" w:eastAsia="Arial" w:hAnsi="Arial" w:cs="Arial"/>
          <w:sz w:val="20"/>
          <w:szCs w:val="20"/>
          <w:lang w:eastAsia="zh-CN"/>
        </w:rPr>
        <w:t>,</w:t>
      </w:r>
      <w:r w:rsidR="001D57D5">
        <w:rPr>
          <w:rFonts w:ascii="Arial" w:eastAsia="Arial" w:hAnsi="Arial" w:cs="Arial"/>
          <w:sz w:val="20"/>
          <w:szCs w:val="20"/>
          <w:lang w:eastAsia="zh-CN"/>
        </w:rPr>
        <w:t xml:space="preserve"> or coupled with projects if so desired.</w:t>
      </w:r>
      <w:r w:rsidR="003B71B0" w:rsidRPr="00CE3AA2" w:rsidDel="003B71B0">
        <w:rPr>
          <w:rFonts w:ascii="Arial" w:eastAsia="Arial" w:hAnsi="Arial" w:cs="Arial"/>
          <w:sz w:val="20"/>
          <w:szCs w:val="20"/>
          <w:lang w:eastAsia="zh-CN"/>
        </w:rPr>
        <w:t xml:space="preserve"> </w:t>
      </w:r>
    </w:p>
    <w:p w:rsidR="00CE3AA2" w:rsidRPr="00CE3AA2" w:rsidRDefault="00CE3AA2" w:rsidP="00CE3AA2">
      <w:pPr>
        <w:keepNext/>
        <w:keepLines/>
        <w:widowControl w:val="0"/>
        <w:spacing w:before="200" w:after="0" w:line="240" w:lineRule="auto"/>
        <w:ind w:left="0" w:firstLine="0"/>
        <w:jc w:val="left"/>
        <w:outlineLvl w:val="2"/>
        <w:rPr>
          <w:rFonts w:ascii="Calibri" w:eastAsia="Calibri" w:hAnsi="Calibri" w:cs="Calibri"/>
          <w:b/>
          <w:color w:val="5B9BD5"/>
          <w:sz w:val="24"/>
          <w:szCs w:val="24"/>
          <w:lang w:eastAsia="zh-CN"/>
        </w:rPr>
      </w:pPr>
      <w:r w:rsidRPr="00CE3AA2">
        <w:rPr>
          <w:rFonts w:ascii="Calibri" w:eastAsia="Calibri" w:hAnsi="Calibri" w:cs="Calibri"/>
          <w:b/>
          <w:color w:val="5B9BD5"/>
          <w:sz w:val="24"/>
          <w:szCs w:val="24"/>
          <w:lang w:eastAsia="zh-CN"/>
        </w:rPr>
        <w:lastRenderedPageBreak/>
        <w:t xml:space="preserve">Methodology </w:t>
      </w:r>
    </w:p>
    <w:p w:rsidR="00CE3AA2" w:rsidRPr="00CE3AA2" w:rsidRDefault="003B71B0" w:rsidP="00CE3AA2">
      <w:pPr>
        <w:widowControl w:val="0"/>
        <w:spacing w:after="240" w:line="259" w:lineRule="auto"/>
        <w:ind w:left="0" w:firstLine="0"/>
        <w:rPr>
          <w:rFonts w:ascii="Arial" w:eastAsia="Arial" w:hAnsi="Arial" w:cs="Arial"/>
          <w:sz w:val="20"/>
          <w:szCs w:val="20"/>
          <w:lang w:eastAsia="zh-CN"/>
        </w:rPr>
      </w:pPr>
      <w:r>
        <w:rPr>
          <w:rFonts w:ascii="Arial" w:eastAsia="Arial" w:hAnsi="Arial" w:cs="Arial"/>
          <w:sz w:val="20"/>
          <w:szCs w:val="20"/>
          <w:lang w:eastAsia="zh-CN"/>
        </w:rPr>
        <w:t>Unit</w:t>
      </w:r>
      <w:r w:rsidR="00CE3AA2" w:rsidRPr="00CE3AA2">
        <w:rPr>
          <w:rFonts w:ascii="Arial" w:eastAsia="Arial" w:hAnsi="Arial" w:cs="Arial"/>
          <w:sz w:val="20"/>
          <w:szCs w:val="20"/>
          <w:lang w:eastAsia="zh-CN"/>
        </w:rPr>
        <w:t xml:space="preserve">-based costing for humanitarian appeals refers to a method of estimating overall resource needs for a humanitarian response plan (HRP), using average costs per sectoral activity, per person served, or per item delivered. </w:t>
      </w:r>
      <w:r w:rsidR="00D942D8">
        <w:rPr>
          <w:rFonts w:ascii="Arial" w:eastAsia="Arial" w:hAnsi="Arial" w:cs="Arial"/>
          <w:sz w:val="20"/>
          <w:szCs w:val="20"/>
          <w:lang w:eastAsia="zh-CN"/>
        </w:rPr>
        <w:t xml:space="preserve">This average unit cost can then be multiplied times the anticipated need in different population planning groups, to arrive at an expected total. </w:t>
      </w:r>
      <w:r w:rsidR="00CE3AA2" w:rsidRPr="00CE3AA2">
        <w:rPr>
          <w:rFonts w:ascii="Arial" w:eastAsia="Arial" w:hAnsi="Arial" w:cs="Arial"/>
          <w:sz w:val="20"/>
          <w:szCs w:val="20"/>
          <w:lang w:eastAsia="zh-CN"/>
        </w:rPr>
        <w:t>This calculation allows a country operation to focus its HRP on the overall estimated cost for the planned response, in line with the humanitarian needs overview (HNO) and the country’s strategic objectives</w:t>
      </w:r>
      <w:r w:rsidR="001D57D5">
        <w:rPr>
          <w:rFonts w:ascii="Arial" w:eastAsia="Arial" w:hAnsi="Arial" w:cs="Arial"/>
          <w:sz w:val="20"/>
          <w:szCs w:val="20"/>
          <w:lang w:eastAsia="zh-CN"/>
        </w:rPr>
        <w:t xml:space="preserve"> and necessary activities, rather than the projects and programmes implemented by partners in the appeal.</w:t>
      </w:r>
      <w:r w:rsidR="001D57D5" w:rsidRPr="00CE3AA2" w:rsidDel="001D57D5">
        <w:rPr>
          <w:rFonts w:ascii="Arial" w:eastAsia="Arial" w:hAnsi="Arial" w:cs="Arial"/>
          <w:sz w:val="20"/>
          <w:szCs w:val="20"/>
          <w:lang w:eastAsia="zh-CN"/>
        </w:rPr>
        <w:t xml:space="preserve"> </w:t>
      </w:r>
    </w:p>
    <w:p w:rsidR="00CE3AA2" w:rsidRDefault="00CE3AA2" w:rsidP="00356136">
      <w:pPr>
        <w:widowControl w:val="0"/>
        <w:spacing w:after="240" w:line="259" w:lineRule="auto"/>
        <w:ind w:left="0" w:firstLine="0"/>
        <w:rPr>
          <w:rFonts w:ascii="Arial" w:eastAsia="Arial" w:hAnsi="Arial" w:cs="Arial"/>
          <w:sz w:val="20"/>
          <w:szCs w:val="20"/>
          <w:lang w:eastAsia="zh-CN"/>
        </w:rPr>
      </w:pPr>
      <w:r w:rsidRPr="00CE3AA2">
        <w:rPr>
          <w:rFonts w:ascii="Arial" w:eastAsia="Arial" w:hAnsi="Arial" w:cs="Arial"/>
          <w:sz w:val="20"/>
          <w:szCs w:val="20"/>
          <w:lang w:eastAsia="zh-CN"/>
        </w:rPr>
        <w:t xml:space="preserve">In this </w:t>
      </w:r>
      <w:r w:rsidRPr="00DF35CE">
        <w:rPr>
          <w:rFonts w:ascii="Arial" w:eastAsia="Arial" w:hAnsi="Arial"/>
          <w:sz w:val="20"/>
        </w:rPr>
        <w:t xml:space="preserve">approach the </w:t>
      </w:r>
      <w:r w:rsidR="007B1BCD" w:rsidRPr="00DF35CE">
        <w:rPr>
          <w:rFonts w:ascii="Arial" w:eastAsia="Arial" w:hAnsi="Arial"/>
          <w:sz w:val="20"/>
        </w:rPr>
        <w:t xml:space="preserve">costs per sector are determined on a unit cost per person per type of </w:t>
      </w:r>
      <w:r w:rsidR="00CD1DBE" w:rsidRPr="00356136">
        <w:rPr>
          <w:rFonts w:ascii="Arial" w:eastAsia="Arial" w:hAnsi="Arial"/>
          <w:sz w:val="20"/>
        </w:rPr>
        <w:t>activity</w:t>
      </w:r>
      <w:r w:rsidR="008C1989" w:rsidRPr="00356136">
        <w:rPr>
          <w:rFonts w:ascii="Arial" w:eastAsia="Arial" w:hAnsi="Arial"/>
          <w:sz w:val="20"/>
        </w:rPr>
        <w:t>;</w:t>
      </w:r>
      <w:r w:rsidRPr="00356136">
        <w:rPr>
          <w:rFonts w:ascii="Arial" w:eastAsia="Arial" w:hAnsi="Arial"/>
          <w:sz w:val="20"/>
        </w:rPr>
        <w:t xml:space="preserve"> sectors </w:t>
      </w:r>
      <w:r w:rsidRPr="00CE3AA2">
        <w:rPr>
          <w:rFonts w:ascii="Arial" w:eastAsia="Arial" w:hAnsi="Arial" w:cs="Arial"/>
          <w:sz w:val="20"/>
          <w:szCs w:val="20"/>
          <w:lang w:eastAsia="zh-CN"/>
        </w:rPr>
        <w:t>identify humanitarian activities, with indicators and targets, and present these in the sector response plans.</w:t>
      </w:r>
      <w:r w:rsidR="00992A1A">
        <w:rPr>
          <w:rFonts w:ascii="Arial" w:eastAsia="Arial" w:hAnsi="Arial" w:cs="Arial"/>
          <w:sz w:val="20"/>
          <w:szCs w:val="20"/>
          <w:lang w:eastAsia="zh-CN"/>
        </w:rPr>
        <w:t xml:space="preserve"> The HCT/IC </w:t>
      </w:r>
      <w:r w:rsidR="005F2729">
        <w:rPr>
          <w:rFonts w:ascii="Arial" w:eastAsia="Arial" w:hAnsi="Arial" w:cs="Arial"/>
          <w:sz w:val="20"/>
          <w:szCs w:val="20"/>
          <w:lang w:eastAsia="zh-CN"/>
        </w:rPr>
        <w:t xml:space="preserve">must decide whether activities/services identified are grouped by intervention area (e.g. higher level outputs) and costed at this level, or whether smaller supporting activities under each intervention area (e.g. training, facilities repair, service operation) are costed separately.  </w:t>
      </w:r>
      <w:r w:rsidRPr="00CE3AA2">
        <w:rPr>
          <w:rFonts w:ascii="Arial" w:eastAsia="Arial" w:hAnsi="Arial" w:cs="Arial"/>
          <w:sz w:val="20"/>
          <w:szCs w:val="20"/>
          <w:lang w:eastAsia="zh-CN"/>
        </w:rPr>
        <w:t xml:space="preserve">For each planned </w:t>
      </w:r>
      <w:r w:rsidR="003B71B0">
        <w:rPr>
          <w:rFonts w:ascii="Arial" w:eastAsia="Arial" w:hAnsi="Arial" w:cs="Arial"/>
          <w:sz w:val="20"/>
          <w:szCs w:val="20"/>
          <w:lang w:eastAsia="zh-CN"/>
        </w:rPr>
        <w:t>unit</w:t>
      </w:r>
      <w:r w:rsidRPr="00CE3AA2">
        <w:rPr>
          <w:rFonts w:ascii="Arial" w:eastAsia="Arial" w:hAnsi="Arial" w:cs="Arial"/>
          <w:sz w:val="20"/>
          <w:szCs w:val="20"/>
          <w:lang w:eastAsia="zh-CN"/>
        </w:rPr>
        <w:t xml:space="preserve">, an estimate budget is established, using </w:t>
      </w:r>
      <w:r w:rsidR="003B71B0">
        <w:rPr>
          <w:rFonts w:ascii="Arial" w:eastAsia="Arial" w:hAnsi="Arial" w:cs="Arial"/>
          <w:sz w:val="20"/>
          <w:szCs w:val="20"/>
          <w:lang w:eastAsia="zh-CN"/>
        </w:rPr>
        <w:t>a unit</w:t>
      </w:r>
      <w:r w:rsidRPr="00CE3AA2">
        <w:rPr>
          <w:rFonts w:ascii="Arial" w:eastAsia="Arial" w:hAnsi="Arial" w:cs="Arial"/>
          <w:sz w:val="20"/>
          <w:szCs w:val="20"/>
          <w:lang w:eastAsia="zh-CN"/>
        </w:rPr>
        <w:t xml:space="preserve">-based costing method, and these sector budgets form the total HRP budget. Projects are not vetted, nor registered in OPS. </w:t>
      </w:r>
    </w:p>
    <w:p w:rsidR="00892B38" w:rsidRDefault="00892B38" w:rsidP="00CD1DBE">
      <w:pPr>
        <w:widowControl w:val="0"/>
        <w:spacing w:after="240" w:line="259" w:lineRule="auto"/>
        <w:ind w:left="0" w:firstLine="0"/>
        <w:rPr>
          <w:rFonts w:ascii="Arial" w:eastAsia="Arial" w:hAnsi="Arial" w:cs="Arial"/>
          <w:sz w:val="20"/>
          <w:szCs w:val="20"/>
          <w:lang w:eastAsia="zh-CN"/>
        </w:rPr>
      </w:pPr>
      <w:r>
        <w:rPr>
          <w:rFonts w:ascii="Arial" w:eastAsia="Arial" w:hAnsi="Arial" w:cs="Arial"/>
          <w:sz w:val="20"/>
          <w:szCs w:val="20"/>
          <w:lang w:eastAsia="zh-CN"/>
        </w:rPr>
        <w:t xml:space="preserve">Two alternatives include projects at a later stage: </w:t>
      </w:r>
    </w:p>
    <w:p w:rsidR="00892B38" w:rsidRPr="00356136" w:rsidRDefault="00892B38" w:rsidP="00DF35CE">
      <w:pPr>
        <w:widowControl w:val="0"/>
        <w:spacing w:after="0" w:line="259" w:lineRule="auto"/>
        <w:ind w:left="0" w:firstLine="0"/>
        <w:contextualSpacing/>
        <w:rPr>
          <w:rFonts w:ascii="Arial" w:eastAsia="Arial" w:hAnsi="Arial"/>
          <w:sz w:val="20"/>
        </w:rPr>
      </w:pPr>
      <w:r w:rsidRPr="00DF35CE">
        <w:rPr>
          <w:rFonts w:ascii="Arial" w:eastAsia="Arial" w:hAnsi="Arial"/>
          <w:b/>
          <w:sz w:val="20"/>
        </w:rPr>
        <w:t>Flash appeal style</w:t>
      </w:r>
      <w:r w:rsidRPr="00DF35CE">
        <w:rPr>
          <w:rFonts w:ascii="Arial" w:eastAsia="Arial" w:hAnsi="Arial"/>
          <w:sz w:val="20"/>
        </w:rPr>
        <w:t>:</w:t>
      </w:r>
      <w:r w:rsidRPr="00356136">
        <w:rPr>
          <w:rFonts w:ascii="Arial" w:eastAsia="Arial" w:hAnsi="Arial"/>
          <w:sz w:val="20"/>
        </w:rPr>
        <w:t xml:space="preserve"> requirements are unit based/estimates at the onset of the emergency, then, when the appeal is revised, projects are elaborated, and the requirements are the total of projects requirements. </w:t>
      </w:r>
    </w:p>
    <w:p w:rsidR="00892B38" w:rsidRPr="00DF35CE" w:rsidRDefault="00892B38" w:rsidP="00DF35CE">
      <w:pPr>
        <w:keepNext/>
        <w:keepLines/>
        <w:widowControl w:val="0"/>
        <w:spacing w:before="200" w:after="0" w:line="240" w:lineRule="auto"/>
        <w:ind w:left="0" w:firstLine="0"/>
        <w:outlineLvl w:val="2"/>
        <w:rPr>
          <w:rFonts w:ascii="Arial" w:eastAsia="Arial" w:hAnsi="Arial"/>
          <w:sz w:val="20"/>
        </w:rPr>
      </w:pPr>
      <w:r w:rsidRPr="00356136">
        <w:rPr>
          <w:rFonts w:ascii="Arial" w:eastAsia="Arial" w:hAnsi="Arial"/>
          <w:b/>
          <w:sz w:val="20"/>
        </w:rPr>
        <w:t>Marketplace approach</w:t>
      </w:r>
      <w:r w:rsidRPr="00356136">
        <w:rPr>
          <w:rFonts w:ascii="Arial" w:eastAsia="Arial" w:hAnsi="Arial"/>
          <w:sz w:val="20"/>
        </w:rPr>
        <w:t>: (as done in CAR/Burundi) where requirements remain unit based costing, but projects total might be higher or lower, showing either lack of coverage by agencies, or competition among agencies. There is not enough evidence at this point that this method is useful. In particular, Agencies have reported that this means additional work that does not yield additional funding</w:t>
      </w:r>
      <w:r w:rsidRPr="00CE3AA2">
        <w:rPr>
          <w:rFonts w:ascii="Calibri" w:eastAsia="Calibri" w:hAnsi="Calibri" w:cs="Calibri"/>
          <w:sz w:val="22"/>
          <w:lang w:eastAsia="zh-CN"/>
        </w:rPr>
        <w:t xml:space="preserve">. </w:t>
      </w:r>
    </w:p>
    <w:p w:rsidR="00892B38" w:rsidRPr="00CE3AA2" w:rsidRDefault="00892B38" w:rsidP="00CD1DBE">
      <w:pPr>
        <w:widowControl w:val="0"/>
        <w:spacing w:after="240" w:line="259" w:lineRule="auto"/>
        <w:ind w:left="0" w:firstLine="0"/>
        <w:rPr>
          <w:rFonts w:ascii="Arial" w:eastAsia="Arial" w:hAnsi="Arial" w:cs="Arial"/>
          <w:sz w:val="20"/>
          <w:szCs w:val="20"/>
          <w:lang w:eastAsia="zh-CN"/>
        </w:rPr>
      </w:pPr>
    </w:p>
    <w:p w:rsidR="00CE3AA2" w:rsidRPr="00CE3AA2" w:rsidRDefault="00CE3AA2" w:rsidP="00CE3AA2">
      <w:pPr>
        <w:widowControl w:val="0"/>
        <w:spacing w:after="160" w:line="276" w:lineRule="auto"/>
        <w:ind w:left="0" w:firstLine="0"/>
        <w:rPr>
          <w:rFonts w:ascii="Arial" w:eastAsia="Arial" w:hAnsi="Arial" w:cs="Arial"/>
          <w:sz w:val="20"/>
          <w:szCs w:val="20"/>
          <w:lang w:eastAsia="zh-CN"/>
        </w:rPr>
      </w:pPr>
      <w:r w:rsidRPr="00CE3AA2">
        <w:rPr>
          <w:rFonts w:ascii="Arial" w:eastAsia="Arial" w:hAnsi="Arial" w:cs="Arial"/>
          <w:sz w:val="20"/>
          <w:szCs w:val="20"/>
          <w:lang w:eastAsia="zh-CN"/>
        </w:rPr>
        <w:t>The responsibility for costing lies with the clusters, less with the agencies.</w:t>
      </w:r>
    </w:p>
    <w:p w:rsidR="00CE3AA2" w:rsidRPr="00CE3AA2" w:rsidRDefault="00CE3AA2" w:rsidP="00CE3AA2">
      <w:pPr>
        <w:keepNext/>
        <w:keepLines/>
        <w:widowControl w:val="0"/>
        <w:spacing w:before="200" w:after="0" w:line="240" w:lineRule="auto"/>
        <w:ind w:left="0" w:firstLine="0"/>
        <w:jc w:val="left"/>
        <w:outlineLvl w:val="2"/>
        <w:rPr>
          <w:rFonts w:ascii="Calibri" w:eastAsia="Calibri" w:hAnsi="Calibri" w:cs="Calibri"/>
          <w:b/>
          <w:color w:val="5B9BD5"/>
          <w:sz w:val="24"/>
          <w:szCs w:val="24"/>
          <w:lang w:eastAsia="zh-CN"/>
        </w:rPr>
      </w:pPr>
      <w:r w:rsidRPr="00CE3AA2">
        <w:rPr>
          <w:rFonts w:ascii="Calibri" w:eastAsia="Calibri" w:hAnsi="Calibri" w:cs="Calibri"/>
          <w:b/>
          <w:color w:val="5B9BD5"/>
          <w:sz w:val="24"/>
          <w:szCs w:val="24"/>
          <w:lang w:eastAsia="zh-CN"/>
        </w:rPr>
        <w:t>Advantages</w:t>
      </w:r>
    </w:p>
    <w:p w:rsidR="00CE3AA2" w:rsidRPr="00CE3AA2" w:rsidRDefault="00CE3AA2" w:rsidP="006246D3">
      <w:pPr>
        <w:widowControl w:val="0"/>
        <w:numPr>
          <w:ilvl w:val="0"/>
          <w:numId w:val="30"/>
        </w:numPr>
        <w:spacing w:after="0" w:line="276" w:lineRule="auto"/>
        <w:ind w:left="426" w:hanging="284"/>
        <w:contextualSpacing/>
        <w:jc w:val="left"/>
        <w:rPr>
          <w:rFonts w:ascii="Calibri" w:eastAsia="Calibri" w:hAnsi="Calibri" w:cs="Calibri"/>
          <w:sz w:val="20"/>
          <w:szCs w:val="20"/>
          <w:lang w:eastAsia="zh-CN"/>
        </w:rPr>
      </w:pPr>
      <w:r w:rsidRPr="00CE3AA2">
        <w:rPr>
          <w:rFonts w:ascii="Arial" w:eastAsia="Arial" w:hAnsi="Arial" w:cs="Arial"/>
          <w:sz w:val="20"/>
          <w:szCs w:val="20"/>
          <w:lang w:eastAsia="zh-CN"/>
        </w:rPr>
        <w:t xml:space="preserve">The approach </w:t>
      </w:r>
      <w:r w:rsidR="006246D3">
        <w:rPr>
          <w:rFonts w:ascii="Arial" w:eastAsia="Arial" w:hAnsi="Arial" w:cs="Arial"/>
          <w:sz w:val="20"/>
          <w:szCs w:val="20"/>
          <w:lang w:eastAsia="zh-CN"/>
        </w:rPr>
        <w:t>promotes</w:t>
      </w:r>
      <w:r w:rsidRPr="00CE3AA2">
        <w:rPr>
          <w:rFonts w:ascii="Arial" w:eastAsia="Arial" w:hAnsi="Arial" w:cs="Arial"/>
          <w:sz w:val="20"/>
          <w:szCs w:val="20"/>
          <w:lang w:eastAsia="zh-CN"/>
        </w:rPr>
        <w:t xml:space="preserve"> participation by all actors in the response planning process, without requiring the disclosure of detailed project information by organization. </w:t>
      </w:r>
    </w:p>
    <w:p w:rsidR="00CE3AA2" w:rsidRPr="00CE3AA2" w:rsidRDefault="00CE3AA2" w:rsidP="00CE3AA2">
      <w:pPr>
        <w:widowControl w:val="0"/>
        <w:numPr>
          <w:ilvl w:val="0"/>
          <w:numId w:val="30"/>
        </w:numPr>
        <w:spacing w:after="0" w:line="276" w:lineRule="auto"/>
        <w:ind w:left="426" w:hanging="284"/>
        <w:contextualSpacing/>
        <w:jc w:val="left"/>
        <w:rPr>
          <w:rFonts w:ascii="Calibri" w:eastAsia="Calibri" w:hAnsi="Calibri" w:cs="Calibri"/>
          <w:sz w:val="20"/>
          <w:szCs w:val="20"/>
          <w:lang w:eastAsia="zh-CN"/>
        </w:rPr>
      </w:pPr>
      <w:r w:rsidRPr="00CE3AA2">
        <w:rPr>
          <w:rFonts w:ascii="Arial" w:eastAsia="Arial" w:hAnsi="Arial" w:cs="Arial"/>
          <w:sz w:val="20"/>
          <w:szCs w:val="20"/>
          <w:lang w:eastAsia="zh-CN"/>
        </w:rPr>
        <w:t>Reduces transaction costs related to project planning and vetting and possible complications due to government engagement in this process.</w:t>
      </w:r>
    </w:p>
    <w:p w:rsidR="00CE3AA2" w:rsidRPr="00CE3AA2" w:rsidRDefault="00CE3AA2" w:rsidP="00CE3AA2">
      <w:pPr>
        <w:widowControl w:val="0"/>
        <w:numPr>
          <w:ilvl w:val="0"/>
          <w:numId w:val="30"/>
        </w:numPr>
        <w:spacing w:after="0" w:line="276" w:lineRule="auto"/>
        <w:ind w:left="426" w:hanging="284"/>
        <w:contextualSpacing/>
        <w:jc w:val="left"/>
        <w:rPr>
          <w:rFonts w:ascii="Calibri" w:eastAsia="Calibri" w:hAnsi="Calibri" w:cs="Calibri"/>
          <w:sz w:val="20"/>
          <w:szCs w:val="20"/>
          <w:lang w:eastAsia="zh-CN"/>
        </w:rPr>
      </w:pPr>
      <w:r w:rsidRPr="00CE3AA2">
        <w:rPr>
          <w:rFonts w:ascii="Arial" w:eastAsia="Arial" w:hAnsi="Arial" w:cs="Arial"/>
          <w:sz w:val="20"/>
          <w:szCs w:val="20"/>
          <w:lang w:eastAsia="zh-CN"/>
        </w:rPr>
        <w:t>The planning and budgeting process of the HRP is less influenced by organisation’s concerns about projects and funding requirements, encouraging more cohesive planning and prioritisation.</w:t>
      </w:r>
    </w:p>
    <w:p w:rsidR="00CE3AA2" w:rsidRPr="00CE3AA2" w:rsidRDefault="00CE3AA2" w:rsidP="00CE3AA2">
      <w:pPr>
        <w:widowControl w:val="0"/>
        <w:numPr>
          <w:ilvl w:val="0"/>
          <w:numId w:val="30"/>
        </w:numPr>
        <w:spacing w:after="0" w:line="276" w:lineRule="auto"/>
        <w:ind w:left="426" w:hanging="284"/>
        <w:contextualSpacing/>
        <w:jc w:val="left"/>
        <w:rPr>
          <w:rFonts w:ascii="Calibri" w:eastAsia="Calibri" w:hAnsi="Calibri" w:cs="Calibri"/>
          <w:sz w:val="20"/>
          <w:szCs w:val="20"/>
          <w:lang w:eastAsia="zh-CN"/>
        </w:rPr>
      </w:pPr>
      <w:r w:rsidRPr="00CE3AA2">
        <w:rPr>
          <w:rFonts w:ascii="Arial" w:eastAsia="Arial" w:hAnsi="Arial" w:cs="Arial"/>
          <w:sz w:val="20"/>
          <w:szCs w:val="20"/>
          <w:lang w:eastAsia="zh-CN"/>
        </w:rPr>
        <w:t>The methodology promotes improved strategic coordination and coherence of appeal documents.</w:t>
      </w:r>
    </w:p>
    <w:p w:rsidR="00CE3AA2" w:rsidRPr="00CE3AA2" w:rsidRDefault="005F2729" w:rsidP="00CE3AA2">
      <w:pPr>
        <w:widowControl w:val="0"/>
        <w:numPr>
          <w:ilvl w:val="0"/>
          <w:numId w:val="30"/>
        </w:numPr>
        <w:spacing w:after="0" w:line="276" w:lineRule="auto"/>
        <w:ind w:left="426" w:hanging="284"/>
        <w:contextualSpacing/>
        <w:jc w:val="left"/>
        <w:rPr>
          <w:rFonts w:ascii="Calibri" w:eastAsia="Calibri" w:hAnsi="Calibri" w:cs="Calibri"/>
          <w:sz w:val="20"/>
          <w:szCs w:val="20"/>
          <w:lang w:eastAsia="zh-CN"/>
        </w:rPr>
      </w:pPr>
      <w:r>
        <w:rPr>
          <w:rFonts w:ascii="Arial" w:eastAsia="Arial" w:hAnsi="Arial" w:cs="Arial"/>
          <w:sz w:val="20"/>
          <w:szCs w:val="20"/>
          <w:lang w:eastAsia="zh-CN"/>
        </w:rPr>
        <w:t>If the HCT has the right capacities in place, r</w:t>
      </w:r>
      <w:r w:rsidR="00CE3AA2" w:rsidRPr="00CE3AA2">
        <w:rPr>
          <w:rFonts w:ascii="Arial" w:eastAsia="Arial" w:hAnsi="Arial" w:cs="Arial"/>
          <w:sz w:val="20"/>
          <w:szCs w:val="20"/>
          <w:lang w:eastAsia="zh-CN"/>
        </w:rPr>
        <w:t>apid application is possible in sudden onset crises.</w:t>
      </w:r>
      <w:r w:rsidR="009F0828">
        <w:rPr>
          <w:rFonts w:ascii="Arial" w:eastAsia="Arial" w:hAnsi="Arial" w:cs="Arial"/>
          <w:sz w:val="20"/>
          <w:szCs w:val="20"/>
          <w:lang w:eastAsia="zh-CN"/>
        </w:rPr>
        <w:t>, and it allows for easy revisions</w:t>
      </w:r>
      <w:r w:rsidR="00CE3AA2" w:rsidRPr="00CE3AA2">
        <w:rPr>
          <w:rFonts w:ascii="Arial" w:eastAsia="Arial" w:hAnsi="Arial" w:cs="Arial"/>
          <w:sz w:val="20"/>
          <w:szCs w:val="20"/>
          <w:lang w:eastAsia="zh-CN"/>
        </w:rPr>
        <w:t>.</w:t>
      </w:r>
    </w:p>
    <w:p w:rsidR="00CE3AA2" w:rsidRPr="00CE3AA2" w:rsidRDefault="00CE3AA2" w:rsidP="00CE3AA2">
      <w:pPr>
        <w:widowControl w:val="0"/>
        <w:numPr>
          <w:ilvl w:val="0"/>
          <w:numId w:val="30"/>
        </w:numPr>
        <w:spacing w:after="0" w:line="276" w:lineRule="auto"/>
        <w:ind w:left="426" w:hanging="284"/>
        <w:contextualSpacing/>
        <w:jc w:val="left"/>
        <w:rPr>
          <w:rFonts w:ascii="Calibri" w:eastAsia="Calibri" w:hAnsi="Calibri" w:cs="Calibri"/>
          <w:sz w:val="20"/>
          <w:szCs w:val="20"/>
          <w:lang w:eastAsia="zh-CN"/>
        </w:rPr>
      </w:pPr>
      <w:r w:rsidRPr="00CE3AA2">
        <w:rPr>
          <w:rFonts w:ascii="Arial" w:eastAsia="Arial" w:hAnsi="Arial" w:cs="Arial"/>
          <w:sz w:val="20"/>
          <w:szCs w:val="20"/>
          <w:lang w:eastAsia="zh-CN"/>
        </w:rPr>
        <w:t>Organisations and sectors are under less time pressure during the HRP process, with a lighter administrative burden, particularly on organisations, prior to the launch of the appeal.</w:t>
      </w:r>
    </w:p>
    <w:p w:rsidR="00CE3AA2" w:rsidRPr="00CE3AA2" w:rsidRDefault="00CE3AA2" w:rsidP="00CE3AA2">
      <w:pPr>
        <w:keepNext/>
        <w:keepLines/>
        <w:widowControl w:val="0"/>
        <w:spacing w:before="200" w:after="0" w:line="240" w:lineRule="auto"/>
        <w:ind w:left="0" w:firstLine="0"/>
        <w:jc w:val="left"/>
        <w:outlineLvl w:val="2"/>
        <w:rPr>
          <w:rFonts w:ascii="Calibri" w:eastAsia="Calibri" w:hAnsi="Calibri" w:cs="Calibri"/>
          <w:b/>
          <w:color w:val="5B9BD5"/>
          <w:sz w:val="24"/>
          <w:szCs w:val="24"/>
          <w:lang w:eastAsia="zh-CN"/>
        </w:rPr>
      </w:pPr>
      <w:r w:rsidRPr="00CE3AA2">
        <w:rPr>
          <w:rFonts w:ascii="Calibri" w:eastAsia="Calibri" w:hAnsi="Calibri" w:cs="Calibri"/>
          <w:b/>
          <w:color w:val="5B9BD5"/>
          <w:sz w:val="24"/>
          <w:szCs w:val="24"/>
          <w:lang w:eastAsia="zh-CN"/>
        </w:rPr>
        <w:t>Disadvantages</w:t>
      </w:r>
    </w:p>
    <w:p w:rsidR="00CE3AA2" w:rsidRPr="00CE3AA2" w:rsidRDefault="00CE3AA2" w:rsidP="00CE3AA2">
      <w:pPr>
        <w:widowControl w:val="0"/>
        <w:numPr>
          <w:ilvl w:val="0"/>
          <w:numId w:val="29"/>
        </w:numPr>
        <w:spacing w:after="0" w:line="276" w:lineRule="auto"/>
        <w:ind w:left="426" w:hanging="284"/>
        <w:contextualSpacing/>
        <w:jc w:val="left"/>
        <w:rPr>
          <w:rFonts w:ascii="Calibri" w:eastAsia="Calibri" w:hAnsi="Calibri" w:cs="Calibri"/>
          <w:sz w:val="20"/>
          <w:szCs w:val="20"/>
          <w:lang w:eastAsia="zh-CN"/>
        </w:rPr>
      </w:pPr>
      <w:r w:rsidRPr="00CE3AA2">
        <w:rPr>
          <w:rFonts w:ascii="Arial" w:eastAsia="Arial" w:hAnsi="Arial" w:cs="Arial"/>
          <w:sz w:val="20"/>
          <w:szCs w:val="20"/>
          <w:lang w:eastAsia="zh-CN"/>
        </w:rPr>
        <w:t>As there is no peer review and vetting process, there is weaker quality control in the project planning phase, including quality assurance tools such as the gender marker and the identification of duplications and gaps in a sector’s overall intervention package.</w:t>
      </w:r>
    </w:p>
    <w:p w:rsidR="00CE3AA2" w:rsidRPr="00CE3AA2" w:rsidRDefault="00CE3AA2" w:rsidP="00CE3AA2">
      <w:pPr>
        <w:widowControl w:val="0"/>
        <w:numPr>
          <w:ilvl w:val="0"/>
          <w:numId w:val="29"/>
        </w:numPr>
        <w:spacing w:after="0" w:line="276" w:lineRule="auto"/>
        <w:ind w:left="426" w:hanging="284"/>
        <w:contextualSpacing/>
        <w:jc w:val="left"/>
        <w:rPr>
          <w:rFonts w:ascii="Calibri" w:eastAsia="Calibri" w:hAnsi="Calibri" w:cs="Calibri"/>
          <w:sz w:val="20"/>
          <w:szCs w:val="20"/>
          <w:lang w:eastAsia="zh-CN"/>
        </w:rPr>
      </w:pPr>
      <w:r w:rsidRPr="00CE3AA2">
        <w:rPr>
          <w:rFonts w:ascii="Arial" w:eastAsia="Arial" w:hAnsi="Arial" w:cs="Arial"/>
          <w:sz w:val="20"/>
          <w:szCs w:val="20"/>
          <w:lang w:eastAsia="zh-CN"/>
        </w:rPr>
        <w:t>Loss of transparency and accountability as incentive to use OPS and FTS systems may decrease the reporting of funding received and the accuracy of FTS data.</w:t>
      </w:r>
    </w:p>
    <w:p w:rsidR="00CE3AA2" w:rsidRPr="00DF35CE" w:rsidRDefault="00CE3AA2" w:rsidP="00CE3AA2">
      <w:pPr>
        <w:widowControl w:val="0"/>
        <w:numPr>
          <w:ilvl w:val="0"/>
          <w:numId w:val="29"/>
        </w:numPr>
        <w:spacing w:after="0" w:line="276" w:lineRule="auto"/>
        <w:ind w:left="426" w:hanging="284"/>
        <w:contextualSpacing/>
        <w:jc w:val="left"/>
        <w:rPr>
          <w:rFonts w:ascii="Calibri" w:eastAsia="Calibri" w:hAnsi="Calibri"/>
          <w:sz w:val="20"/>
        </w:rPr>
      </w:pPr>
      <w:r w:rsidRPr="00CE3AA2">
        <w:rPr>
          <w:rFonts w:ascii="Arial" w:eastAsia="Arial" w:hAnsi="Arial" w:cs="Arial"/>
          <w:sz w:val="20"/>
          <w:szCs w:val="20"/>
          <w:lang w:eastAsia="zh-CN"/>
        </w:rPr>
        <w:t>Difficulties related to financial and activity tracking</w:t>
      </w:r>
      <w:r w:rsidR="001D57D5">
        <w:rPr>
          <w:rFonts w:ascii="Arial" w:eastAsia="Arial" w:hAnsi="Arial" w:cs="Arial"/>
          <w:sz w:val="20"/>
          <w:szCs w:val="20"/>
          <w:lang w:eastAsia="zh-CN"/>
        </w:rPr>
        <w:t>, and the absence of a clear overview of participating organisations</w:t>
      </w:r>
      <w:r w:rsidRPr="00CE3AA2">
        <w:rPr>
          <w:rFonts w:ascii="Arial" w:eastAsia="Arial" w:hAnsi="Arial" w:cs="Arial"/>
          <w:sz w:val="20"/>
          <w:szCs w:val="20"/>
          <w:lang w:eastAsia="zh-CN"/>
        </w:rPr>
        <w:t xml:space="preserve"> makes sector coordination more challenging.</w:t>
      </w:r>
    </w:p>
    <w:p w:rsidR="003539EE" w:rsidRPr="00361EFC" w:rsidRDefault="003539EE" w:rsidP="006246D3">
      <w:pPr>
        <w:widowControl w:val="0"/>
        <w:numPr>
          <w:ilvl w:val="0"/>
          <w:numId w:val="29"/>
        </w:numPr>
        <w:spacing w:after="0" w:line="276" w:lineRule="auto"/>
        <w:ind w:left="426" w:hanging="284"/>
        <w:contextualSpacing/>
        <w:jc w:val="left"/>
        <w:rPr>
          <w:rFonts w:ascii="Arial" w:eastAsia="Arial" w:hAnsi="Arial" w:cs="Arial"/>
          <w:sz w:val="20"/>
          <w:szCs w:val="20"/>
          <w:lang w:eastAsia="zh-CN"/>
        </w:rPr>
      </w:pPr>
      <w:r>
        <w:rPr>
          <w:rFonts w:ascii="Arial" w:eastAsia="Arial" w:hAnsi="Arial" w:cs="Arial"/>
          <w:sz w:val="20"/>
          <w:szCs w:val="20"/>
          <w:lang w:eastAsia="zh-CN"/>
        </w:rPr>
        <w:t xml:space="preserve">Difficulties related to estimating cost for activities for </w:t>
      </w:r>
      <w:r w:rsidR="006246D3">
        <w:rPr>
          <w:rFonts w:ascii="Arial" w:eastAsia="Arial" w:hAnsi="Arial" w:cs="Arial"/>
          <w:sz w:val="20"/>
          <w:szCs w:val="20"/>
          <w:lang w:eastAsia="zh-CN"/>
        </w:rPr>
        <w:t xml:space="preserve">some </w:t>
      </w:r>
      <w:r>
        <w:rPr>
          <w:rFonts w:ascii="Arial" w:eastAsia="Arial" w:hAnsi="Arial" w:cs="Arial"/>
          <w:sz w:val="20"/>
          <w:szCs w:val="20"/>
          <w:lang w:eastAsia="zh-CN"/>
        </w:rPr>
        <w:t>sectors</w:t>
      </w:r>
      <w:r w:rsidR="006246D3">
        <w:rPr>
          <w:rFonts w:ascii="Arial" w:eastAsia="Arial" w:hAnsi="Arial" w:cs="Arial"/>
          <w:sz w:val="20"/>
          <w:szCs w:val="20"/>
          <w:lang w:eastAsia="zh-CN"/>
        </w:rPr>
        <w:t>/areas</w:t>
      </w:r>
      <w:r>
        <w:rPr>
          <w:rFonts w:ascii="Arial" w:eastAsia="Arial" w:hAnsi="Arial" w:cs="Arial"/>
          <w:sz w:val="20"/>
          <w:szCs w:val="20"/>
          <w:lang w:eastAsia="zh-CN"/>
        </w:rPr>
        <w:t xml:space="preserve"> such as </w:t>
      </w:r>
      <w:r w:rsidR="006246D3">
        <w:rPr>
          <w:rFonts w:ascii="Arial" w:eastAsia="Arial" w:hAnsi="Arial" w:cs="Arial"/>
          <w:sz w:val="20"/>
          <w:szCs w:val="20"/>
          <w:lang w:eastAsia="zh-CN"/>
        </w:rPr>
        <w:t>p</w:t>
      </w:r>
      <w:r>
        <w:rPr>
          <w:rFonts w:ascii="Arial" w:eastAsia="Arial" w:hAnsi="Arial" w:cs="Arial"/>
          <w:sz w:val="20"/>
          <w:szCs w:val="20"/>
          <w:lang w:eastAsia="zh-CN"/>
        </w:rPr>
        <w:t>rotection</w:t>
      </w:r>
      <w:r w:rsidR="006246D3">
        <w:rPr>
          <w:rFonts w:ascii="Arial" w:eastAsia="Arial" w:hAnsi="Arial" w:cs="Arial"/>
          <w:sz w:val="20"/>
          <w:szCs w:val="20"/>
          <w:lang w:eastAsia="zh-CN"/>
        </w:rPr>
        <w:t xml:space="preserve">, </w:t>
      </w:r>
      <w:r w:rsidR="006246D3">
        <w:rPr>
          <w:rFonts w:ascii="Arial" w:eastAsia="Arial" w:hAnsi="Arial" w:cs="Arial"/>
          <w:sz w:val="20"/>
          <w:szCs w:val="20"/>
          <w:lang w:eastAsia="zh-CN"/>
        </w:rPr>
        <w:lastRenderedPageBreak/>
        <w:t>coordination</w:t>
      </w:r>
      <w:r>
        <w:rPr>
          <w:rFonts w:ascii="Arial" w:eastAsia="Arial" w:hAnsi="Arial" w:cs="Arial"/>
          <w:sz w:val="20"/>
          <w:szCs w:val="20"/>
          <w:lang w:eastAsia="zh-CN"/>
        </w:rPr>
        <w:t>,</w:t>
      </w:r>
      <w:r w:rsidR="006246D3">
        <w:rPr>
          <w:rFonts w:ascii="Arial" w:eastAsia="Arial" w:hAnsi="Arial" w:cs="Arial"/>
          <w:sz w:val="20"/>
          <w:szCs w:val="20"/>
          <w:lang w:eastAsia="zh-CN"/>
        </w:rPr>
        <w:t xml:space="preserve"> or multi sector activities</w:t>
      </w:r>
    </w:p>
    <w:p w:rsidR="003539EE" w:rsidRPr="006246D3" w:rsidRDefault="003539EE" w:rsidP="006246D3">
      <w:pPr>
        <w:widowControl w:val="0"/>
        <w:numPr>
          <w:ilvl w:val="0"/>
          <w:numId w:val="29"/>
        </w:numPr>
        <w:spacing w:after="0" w:line="276" w:lineRule="auto"/>
        <w:ind w:left="426" w:hanging="284"/>
        <w:contextualSpacing/>
        <w:jc w:val="left"/>
        <w:rPr>
          <w:rFonts w:ascii="Arial" w:eastAsia="Arial" w:hAnsi="Arial" w:cs="Arial"/>
          <w:sz w:val="20"/>
          <w:szCs w:val="20"/>
          <w:lang w:eastAsia="zh-CN"/>
        </w:rPr>
      </w:pPr>
      <w:r w:rsidRPr="006246D3">
        <w:rPr>
          <w:rFonts w:ascii="Arial" w:eastAsia="Arial" w:hAnsi="Arial" w:cs="Arial"/>
          <w:sz w:val="20"/>
          <w:szCs w:val="20"/>
          <w:lang w:eastAsia="zh-CN"/>
        </w:rPr>
        <w:t>Security</w:t>
      </w:r>
      <w:r w:rsidR="007E5A52" w:rsidRPr="006246D3">
        <w:rPr>
          <w:rFonts w:ascii="Arial" w:eastAsia="Arial" w:hAnsi="Arial" w:cs="Arial"/>
          <w:sz w:val="20"/>
          <w:szCs w:val="20"/>
          <w:lang w:eastAsia="zh-CN"/>
        </w:rPr>
        <w:t>/access</w:t>
      </w:r>
      <w:r w:rsidRPr="006246D3">
        <w:rPr>
          <w:rFonts w:ascii="Arial" w:eastAsia="Arial" w:hAnsi="Arial" w:cs="Arial"/>
          <w:sz w:val="20"/>
          <w:szCs w:val="20"/>
          <w:lang w:eastAsia="zh-CN"/>
        </w:rPr>
        <w:t xml:space="preserve"> aspect</w:t>
      </w:r>
      <w:r w:rsidR="007E5A52" w:rsidRPr="006246D3">
        <w:rPr>
          <w:rFonts w:ascii="Arial" w:eastAsia="Arial" w:hAnsi="Arial" w:cs="Arial"/>
          <w:sz w:val="20"/>
          <w:szCs w:val="20"/>
          <w:lang w:eastAsia="zh-CN"/>
        </w:rPr>
        <w:t>s</w:t>
      </w:r>
      <w:r w:rsidRPr="006246D3">
        <w:rPr>
          <w:rFonts w:ascii="Arial" w:eastAsia="Arial" w:hAnsi="Arial" w:cs="Arial"/>
          <w:sz w:val="20"/>
          <w:szCs w:val="20"/>
          <w:lang w:eastAsia="zh-CN"/>
        </w:rPr>
        <w:t xml:space="preserve"> and </w:t>
      </w:r>
      <w:r w:rsidR="006246D3" w:rsidRPr="006246D3">
        <w:rPr>
          <w:rFonts w:ascii="Arial" w:eastAsia="Arial" w:hAnsi="Arial" w:cs="Arial"/>
          <w:sz w:val="20"/>
          <w:szCs w:val="20"/>
          <w:lang w:eastAsia="zh-CN"/>
        </w:rPr>
        <w:t>their</w:t>
      </w:r>
      <w:r w:rsidRPr="006246D3">
        <w:rPr>
          <w:rFonts w:ascii="Arial" w:eastAsia="Arial" w:hAnsi="Arial" w:cs="Arial"/>
          <w:sz w:val="20"/>
          <w:szCs w:val="20"/>
          <w:lang w:eastAsia="zh-CN"/>
        </w:rPr>
        <w:t xml:space="preserve"> implication on the </w:t>
      </w:r>
      <w:r w:rsidR="007E5A52" w:rsidRPr="006246D3">
        <w:rPr>
          <w:rFonts w:ascii="Arial" w:eastAsia="Arial" w:hAnsi="Arial" w:cs="Arial"/>
          <w:sz w:val="20"/>
          <w:szCs w:val="20"/>
          <w:lang w:eastAsia="zh-CN"/>
        </w:rPr>
        <w:t xml:space="preserve">costing </w:t>
      </w:r>
      <w:r w:rsidRPr="006246D3">
        <w:rPr>
          <w:rFonts w:ascii="Arial" w:eastAsia="Arial" w:hAnsi="Arial" w:cs="Arial"/>
          <w:sz w:val="20"/>
          <w:szCs w:val="20"/>
          <w:lang w:eastAsia="zh-CN"/>
        </w:rPr>
        <w:t xml:space="preserve">of activities </w:t>
      </w:r>
      <w:r w:rsidR="00784DCE" w:rsidRPr="006246D3">
        <w:rPr>
          <w:rFonts w:ascii="Arial" w:eastAsia="Arial" w:hAnsi="Arial" w:cs="Arial"/>
          <w:sz w:val="20"/>
          <w:szCs w:val="20"/>
          <w:lang w:eastAsia="zh-CN"/>
        </w:rPr>
        <w:t>are</w:t>
      </w:r>
      <w:r w:rsidRPr="006246D3">
        <w:rPr>
          <w:rFonts w:ascii="Arial" w:eastAsia="Arial" w:hAnsi="Arial" w:cs="Arial"/>
          <w:sz w:val="20"/>
          <w:szCs w:val="20"/>
          <w:lang w:eastAsia="zh-CN"/>
        </w:rPr>
        <w:t xml:space="preserve"> </w:t>
      </w:r>
      <w:r w:rsidR="006246D3" w:rsidRPr="006246D3">
        <w:rPr>
          <w:rFonts w:ascii="Arial" w:eastAsia="Arial" w:hAnsi="Arial" w:cs="Arial"/>
          <w:sz w:val="20"/>
          <w:szCs w:val="20"/>
          <w:lang w:eastAsia="zh-CN"/>
        </w:rPr>
        <w:t>complicated.</w:t>
      </w:r>
      <w:r w:rsidR="00361EFC" w:rsidRPr="006246D3">
        <w:rPr>
          <w:rFonts w:ascii="Arial" w:eastAsia="Arial" w:hAnsi="Arial" w:cs="Arial"/>
          <w:sz w:val="20"/>
          <w:szCs w:val="20"/>
          <w:lang w:eastAsia="zh-CN"/>
        </w:rPr>
        <w:t xml:space="preserve"> </w:t>
      </w:r>
      <w:r w:rsidRPr="006246D3">
        <w:rPr>
          <w:rFonts w:ascii="Arial" w:eastAsia="Arial" w:hAnsi="Arial" w:cs="Arial"/>
          <w:sz w:val="20"/>
          <w:szCs w:val="20"/>
          <w:lang w:eastAsia="zh-CN"/>
        </w:rPr>
        <w:t>considered</w:t>
      </w:r>
      <w:r w:rsidR="006246D3" w:rsidRPr="006246D3">
        <w:rPr>
          <w:rFonts w:ascii="Arial" w:eastAsia="Arial" w:hAnsi="Arial" w:cs="Arial"/>
          <w:sz w:val="20"/>
          <w:szCs w:val="20"/>
          <w:lang w:eastAsia="zh-CN"/>
        </w:rPr>
        <w:t>.</w:t>
      </w:r>
    </w:p>
    <w:p w:rsidR="00CE3AA2" w:rsidRPr="00DF35CE" w:rsidRDefault="00CE3AA2" w:rsidP="00CE3AA2">
      <w:pPr>
        <w:widowControl w:val="0"/>
        <w:numPr>
          <w:ilvl w:val="0"/>
          <w:numId w:val="29"/>
        </w:numPr>
        <w:spacing w:after="0" w:line="276" w:lineRule="auto"/>
        <w:ind w:left="426" w:hanging="284"/>
        <w:contextualSpacing/>
        <w:jc w:val="left"/>
        <w:rPr>
          <w:rFonts w:ascii="Calibri" w:eastAsia="Calibri" w:hAnsi="Calibri"/>
          <w:sz w:val="20"/>
        </w:rPr>
      </w:pPr>
      <w:r w:rsidRPr="00CE3AA2">
        <w:rPr>
          <w:rFonts w:ascii="Arial" w:eastAsia="Arial" w:hAnsi="Arial" w:cs="Arial"/>
          <w:sz w:val="20"/>
          <w:szCs w:val="20"/>
          <w:lang w:eastAsia="zh-CN"/>
        </w:rPr>
        <w:t>Lack of existing guidance at a global level.</w:t>
      </w:r>
    </w:p>
    <w:p w:rsidR="00CE3AA2" w:rsidRPr="00CE3AA2" w:rsidRDefault="006246D3" w:rsidP="006246D3">
      <w:pPr>
        <w:widowControl w:val="0"/>
        <w:numPr>
          <w:ilvl w:val="0"/>
          <w:numId w:val="29"/>
        </w:numPr>
        <w:spacing w:after="0" w:line="276" w:lineRule="auto"/>
        <w:ind w:left="426" w:hanging="284"/>
        <w:contextualSpacing/>
        <w:jc w:val="left"/>
        <w:rPr>
          <w:rFonts w:ascii="Calibri" w:eastAsia="Calibri" w:hAnsi="Calibri" w:cs="Calibri"/>
          <w:sz w:val="20"/>
          <w:szCs w:val="20"/>
          <w:lang w:eastAsia="zh-CN"/>
        </w:rPr>
      </w:pPr>
      <w:r>
        <w:rPr>
          <w:rFonts w:ascii="Arial" w:eastAsia="Arial" w:hAnsi="Arial" w:cs="Arial"/>
          <w:sz w:val="20"/>
          <w:szCs w:val="20"/>
          <w:lang w:eastAsia="zh-CN"/>
        </w:rPr>
        <w:t>Fo</w:t>
      </w:r>
      <w:r w:rsidR="001D57D5">
        <w:rPr>
          <w:rFonts w:ascii="Arial" w:eastAsia="Arial" w:hAnsi="Arial" w:cs="Arial"/>
          <w:sz w:val="20"/>
          <w:szCs w:val="20"/>
          <w:lang w:eastAsia="zh-CN"/>
        </w:rPr>
        <w:t>r calculating the cost of multipurpose cash, there needs to be clear coordination between the different sectors involved</w:t>
      </w:r>
      <w:r w:rsidR="00356136">
        <w:rPr>
          <w:rFonts w:ascii="Arial" w:eastAsia="Arial" w:hAnsi="Arial" w:cs="Arial"/>
          <w:sz w:val="20"/>
          <w:szCs w:val="20"/>
          <w:lang w:eastAsia="zh-CN"/>
        </w:rPr>
        <w:t>.</w:t>
      </w:r>
    </w:p>
    <w:p w:rsidR="006D5253" w:rsidRPr="006D5253" w:rsidRDefault="006D5253" w:rsidP="00CE3AA2">
      <w:pPr>
        <w:widowControl w:val="0"/>
        <w:numPr>
          <w:ilvl w:val="0"/>
          <w:numId w:val="29"/>
        </w:numPr>
        <w:spacing w:after="0" w:line="276" w:lineRule="auto"/>
        <w:ind w:left="426" w:hanging="284"/>
        <w:contextualSpacing/>
        <w:jc w:val="left"/>
        <w:rPr>
          <w:rFonts w:ascii="Calibri" w:eastAsia="Calibri" w:hAnsi="Calibri" w:cs="Calibri"/>
          <w:sz w:val="20"/>
          <w:szCs w:val="20"/>
          <w:lang w:eastAsia="zh-CN"/>
        </w:rPr>
      </w:pPr>
      <w:r>
        <w:rPr>
          <w:rFonts w:ascii="Arial" w:eastAsia="Arial" w:hAnsi="Arial" w:cs="Arial"/>
          <w:sz w:val="20"/>
          <w:szCs w:val="20"/>
          <w:lang w:eastAsia="zh-CN"/>
        </w:rPr>
        <w:t>Lack of partner visibility, potentially impacting access to donor funding</w:t>
      </w:r>
      <w:r w:rsidR="00356136">
        <w:rPr>
          <w:rFonts w:ascii="Arial" w:eastAsia="Arial" w:hAnsi="Arial" w:cs="Arial"/>
          <w:sz w:val="20"/>
          <w:szCs w:val="20"/>
          <w:lang w:eastAsia="zh-CN"/>
        </w:rPr>
        <w:t>.</w:t>
      </w:r>
    </w:p>
    <w:p w:rsidR="006D5253" w:rsidRPr="0054110D" w:rsidRDefault="006D5253" w:rsidP="00CE3AA2">
      <w:pPr>
        <w:widowControl w:val="0"/>
        <w:numPr>
          <w:ilvl w:val="0"/>
          <w:numId w:val="29"/>
        </w:numPr>
        <w:spacing w:after="0" w:line="276" w:lineRule="auto"/>
        <w:ind w:left="426" w:hanging="284"/>
        <w:contextualSpacing/>
        <w:jc w:val="left"/>
        <w:rPr>
          <w:rFonts w:ascii="Calibri" w:eastAsia="Calibri" w:hAnsi="Calibri"/>
          <w:sz w:val="20"/>
        </w:rPr>
      </w:pPr>
      <w:r>
        <w:rPr>
          <w:rFonts w:ascii="Arial" w:eastAsia="Arial" w:hAnsi="Arial" w:cs="Arial"/>
          <w:sz w:val="20"/>
          <w:szCs w:val="20"/>
          <w:lang w:eastAsia="zh-CN"/>
        </w:rPr>
        <w:t>Loss of project review/vetting in the planning phase, and project-related quality assurance tools such as the gender marker</w:t>
      </w:r>
      <w:r w:rsidR="00356136">
        <w:rPr>
          <w:rFonts w:ascii="Arial" w:eastAsia="Arial" w:hAnsi="Arial" w:cs="Arial"/>
          <w:sz w:val="20"/>
          <w:szCs w:val="20"/>
          <w:lang w:eastAsia="zh-CN"/>
        </w:rPr>
        <w:t>.</w:t>
      </w:r>
    </w:p>
    <w:p w:rsidR="00F77BD6" w:rsidRPr="00CE3AA2" w:rsidRDefault="00F77BD6" w:rsidP="0054110D">
      <w:pPr>
        <w:widowControl w:val="0"/>
        <w:spacing w:after="0" w:line="276" w:lineRule="auto"/>
        <w:ind w:left="426" w:firstLine="0"/>
        <w:contextualSpacing/>
        <w:jc w:val="left"/>
        <w:rPr>
          <w:rFonts w:ascii="Calibri" w:eastAsia="Calibri" w:hAnsi="Calibri" w:cs="Calibri"/>
          <w:sz w:val="20"/>
          <w:szCs w:val="20"/>
          <w:lang w:eastAsia="zh-CN"/>
        </w:rPr>
      </w:pPr>
    </w:p>
    <w:p w:rsidR="007A4B00" w:rsidRPr="0054110D" w:rsidRDefault="007A4B00" w:rsidP="0054110D">
      <w:pPr>
        <w:keepNext/>
        <w:keepLines/>
        <w:widowControl w:val="0"/>
        <w:numPr>
          <w:ilvl w:val="0"/>
          <w:numId w:val="32"/>
        </w:numPr>
        <w:spacing w:before="240" w:after="40" w:line="276" w:lineRule="auto"/>
        <w:jc w:val="left"/>
        <w:outlineLvl w:val="1"/>
        <w:rPr>
          <w:rFonts w:ascii="Arial" w:eastAsia="Arial" w:hAnsi="Arial"/>
          <w:b/>
          <w:color w:val="5B9BD5"/>
          <w:sz w:val="32"/>
        </w:rPr>
      </w:pPr>
      <w:r w:rsidRPr="0054110D">
        <w:rPr>
          <w:rFonts w:ascii="Arial" w:eastAsia="Arial" w:hAnsi="Arial"/>
          <w:b/>
          <w:color w:val="5B9BD5"/>
          <w:sz w:val="32"/>
        </w:rPr>
        <w:t>Guidance to be developed</w:t>
      </w:r>
    </w:p>
    <w:p w:rsidR="00553333" w:rsidRPr="00DF35CE" w:rsidRDefault="00553333" w:rsidP="0074624C">
      <w:pPr>
        <w:pStyle w:val="NormalWeb"/>
        <w:rPr>
          <w:rFonts w:ascii="Arial" w:eastAsia="Arial" w:hAnsi="Arial"/>
          <w:color w:val="000000"/>
          <w:sz w:val="20"/>
        </w:rPr>
      </w:pPr>
      <w:r w:rsidRPr="00DF35CE">
        <w:rPr>
          <w:rFonts w:ascii="Arial" w:eastAsia="Arial" w:hAnsi="Arial"/>
          <w:color w:val="000000"/>
          <w:sz w:val="20"/>
        </w:rPr>
        <w:t xml:space="preserve">The guidance should </w:t>
      </w:r>
      <w:r w:rsidR="00BF2E18" w:rsidRPr="00DF35CE">
        <w:rPr>
          <w:rFonts w:ascii="Arial" w:eastAsia="Arial" w:hAnsi="Arial"/>
          <w:color w:val="000000"/>
          <w:sz w:val="20"/>
        </w:rPr>
        <w:t xml:space="preserve">build on the above guidance points, and </w:t>
      </w:r>
      <w:r w:rsidRPr="00356136">
        <w:rPr>
          <w:rFonts w:ascii="Arial" w:eastAsia="Arial" w:hAnsi="Arial"/>
          <w:color w:val="000000"/>
          <w:sz w:val="20"/>
        </w:rPr>
        <w:t xml:space="preserve">include </w:t>
      </w:r>
      <w:r w:rsidR="00BE5E76" w:rsidRPr="00356136">
        <w:rPr>
          <w:rFonts w:ascii="Arial" w:eastAsia="Arial" w:hAnsi="Arial"/>
          <w:color w:val="000000"/>
          <w:sz w:val="20"/>
        </w:rPr>
        <w:t xml:space="preserve">advice on </w:t>
      </w:r>
      <w:r w:rsidRPr="00356136">
        <w:rPr>
          <w:rFonts w:ascii="Arial" w:eastAsia="Arial" w:hAnsi="Arial"/>
          <w:color w:val="000000"/>
          <w:sz w:val="20"/>
        </w:rPr>
        <w:t>both methodologies</w:t>
      </w:r>
      <w:r w:rsidR="00BF2E18">
        <w:rPr>
          <w:rFonts w:ascii="Calibri" w:hAnsi="Calibri"/>
          <w:color w:val="000000"/>
        </w:rPr>
        <w:t>.</w:t>
      </w:r>
    </w:p>
    <w:p w:rsidR="00BE5E76" w:rsidRDefault="00BE5E76" w:rsidP="00DF35CE">
      <w:pPr>
        <w:pStyle w:val="Heading4"/>
      </w:pPr>
      <w:r>
        <w:t>For unit</w:t>
      </w:r>
      <w:r w:rsidR="00A13347">
        <w:t>-</w:t>
      </w:r>
      <w:r>
        <w:t>based costing:</w:t>
      </w:r>
    </w:p>
    <w:p w:rsidR="004B4AE4" w:rsidRPr="0074624C" w:rsidRDefault="004B4AE4">
      <w:pPr>
        <w:pStyle w:val="NormalWeb"/>
        <w:jc w:val="both"/>
        <w:rPr>
          <w:rFonts w:ascii="Arial" w:eastAsia="Arial" w:hAnsi="Arial"/>
          <w:color w:val="000000"/>
          <w:sz w:val="20"/>
        </w:rPr>
      </w:pPr>
      <w:r w:rsidRPr="0054110D">
        <w:rPr>
          <w:rFonts w:ascii="Arial" w:eastAsia="Arial" w:hAnsi="Arial"/>
          <w:color w:val="000000"/>
          <w:sz w:val="20"/>
        </w:rPr>
        <w:t>The accuracy with which countries are able to estimate unit costs will make the difference between accurate and inaccurate HRP budget envelop</w:t>
      </w:r>
      <w:r w:rsidRPr="0074624C">
        <w:rPr>
          <w:rFonts w:ascii="Arial" w:eastAsia="Arial" w:hAnsi="Arial"/>
          <w:color w:val="000000"/>
          <w:sz w:val="20"/>
        </w:rPr>
        <w:t>es.</w:t>
      </w:r>
    </w:p>
    <w:p w:rsidR="004B4AE4" w:rsidRPr="00DF35CE" w:rsidRDefault="009C2911" w:rsidP="006246D3">
      <w:pPr>
        <w:pStyle w:val="NormalWeb"/>
        <w:jc w:val="both"/>
        <w:rPr>
          <w:rFonts w:ascii="Arial" w:eastAsia="Arial" w:hAnsi="Arial"/>
          <w:color w:val="000000"/>
          <w:sz w:val="20"/>
        </w:rPr>
      </w:pPr>
      <w:r w:rsidRPr="00DF35CE">
        <w:rPr>
          <w:rFonts w:ascii="Arial" w:eastAsia="Arial" w:hAnsi="Arial"/>
          <w:color w:val="000000"/>
          <w:sz w:val="20"/>
        </w:rPr>
        <w:t>Given the need to balance between consistency (so that estimates from different sectors add up to a total budget in a logical fashion) and sector-specific methods of costing that capture the greater complexity of what is provided in Protection or Coordination activities for example, it would be optimal to have responsibilit</w:t>
      </w:r>
      <w:r w:rsidRPr="00356136">
        <w:rPr>
          <w:rFonts w:ascii="Arial" w:eastAsia="Arial" w:hAnsi="Arial"/>
          <w:sz w:val="20"/>
        </w:rPr>
        <w:t xml:space="preserve">y lay within the clusters but be overseen by the Costing Group. </w:t>
      </w:r>
      <w:r w:rsidR="004B4AE4" w:rsidRPr="00356136">
        <w:rPr>
          <w:rFonts w:ascii="Arial" w:eastAsia="Arial" w:hAnsi="Arial"/>
          <w:sz w:val="20"/>
        </w:rPr>
        <w:t xml:space="preserve">The Costing </w:t>
      </w:r>
      <w:r w:rsidR="00A13347">
        <w:rPr>
          <w:rFonts w:ascii="Arial" w:eastAsia="Arial" w:hAnsi="Arial" w:cs="Arial"/>
          <w:sz w:val="20"/>
          <w:szCs w:val="20"/>
        </w:rPr>
        <w:t>G</w:t>
      </w:r>
      <w:r w:rsidR="004B4AE4" w:rsidRPr="006246D3">
        <w:rPr>
          <w:rFonts w:ascii="Arial" w:eastAsia="Arial" w:hAnsi="Arial" w:cs="Arial"/>
          <w:sz w:val="20"/>
          <w:szCs w:val="20"/>
        </w:rPr>
        <w:t>roup</w:t>
      </w:r>
      <w:r w:rsidR="00016D81">
        <w:rPr>
          <w:rFonts w:ascii="Arial" w:eastAsia="Arial" w:hAnsi="Arial" w:cs="Arial"/>
          <w:sz w:val="20"/>
          <w:szCs w:val="20"/>
        </w:rPr>
        <w:t xml:space="preserve">, with the support of a </w:t>
      </w:r>
      <w:r w:rsidR="006246D3">
        <w:rPr>
          <w:rFonts w:ascii="Arial" w:eastAsia="Arial" w:hAnsi="Arial" w:cs="Arial"/>
          <w:sz w:val="20"/>
          <w:szCs w:val="20"/>
        </w:rPr>
        <w:t xml:space="preserve">consultant, </w:t>
      </w:r>
      <w:r w:rsidR="006246D3" w:rsidRPr="00DF35CE">
        <w:rPr>
          <w:rFonts w:ascii="Arial" w:eastAsia="Arial" w:hAnsi="Arial"/>
          <w:color w:val="000000"/>
          <w:sz w:val="20"/>
        </w:rPr>
        <w:t>would</w:t>
      </w:r>
      <w:r w:rsidRPr="00DF35CE">
        <w:rPr>
          <w:rFonts w:ascii="Arial" w:eastAsia="Arial" w:hAnsi="Arial"/>
          <w:color w:val="000000"/>
          <w:sz w:val="20"/>
        </w:rPr>
        <w:t xml:space="preserve"> be responsible for providing </w:t>
      </w:r>
      <w:r w:rsidRPr="00356136">
        <w:rPr>
          <w:rFonts w:ascii="Arial" w:eastAsia="Arial" w:hAnsi="Arial"/>
          <w:sz w:val="20"/>
        </w:rPr>
        <w:t xml:space="preserve">a template to the clusters, technical assistance as clusters are developing their approaches, and provide a check that everything is comparable enough across clusters to add up to an internally consistent budget when applied in practice. </w:t>
      </w:r>
      <w:r w:rsidR="004B4AE4" w:rsidRPr="0054110D">
        <w:rPr>
          <w:rFonts w:ascii="Arial" w:eastAsia="Arial" w:hAnsi="Arial"/>
          <w:color w:val="000000"/>
          <w:sz w:val="20"/>
        </w:rPr>
        <w:t xml:space="preserve"> The guidance would then </w:t>
      </w:r>
      <w:r w:rsidR="004B4AE4" w:rsidRPr="006246D3">
        <w:rPr>
          <w:rFonts w:ascii="Arial" w:eastAsia="Arial" w:hAnsi="Arial" w:cs="Arial"/>
          <w:color w:val="000000"/>
          <w:sz w:val="20"/>
          <w:szCs w:val="20"/>
        </w:rPr>
        <w:t xml:space="preserve">be </w:t>
      </w:r>
      <w:r w:rsidRPr="0054110D">
        <w:rPr>
          <w:rFonts w:ascii="Arial" w:eastAsia="Arial" w:hAnsi="Arial"/>
          <w:color w:val="000000"/>
          <w:sz w:val="20"/>
        </w:rPr>
        <w:t>dissem</w:t>
      </w:r>
      <w:r w:rsidRPr="0074624C">
        <w:rPr>
          <w:rFonts w:ascii="Arial" w:eastAsia="Arial" w:hAnsi="Arial"/>
          <w:color w:val="000000"/>
          <w:sz w:val="20"/>
        </w:rPr>
        <w:t>inated and supported through the clust</w:t>
      </w:r>
      <w:r w:rsidRPr="00DF35CE">
        <w:rPr>
          <w:rFonts w:ascii="Arial" w:eastAsia="Arial" w:hAnsi="Arial"/>
          <w:color w:val="000000"/>
          <w:sz w:val="20"/>
        </w:rPr>
        <w:t xml:space="preserve">ers. </w:t>
      </w:r>
    </w:p>
    <w:p w:rsidR="009C2911" w:rsidRPr="0054110D" w:rsidRDefault="004B4AE4" w:rsidP="006246D3">
      <w:pPr>
        <w:pStyle w:val="NormalWeb"/>
        <w:rPr>
          <w:rFonts w:ascii="Arial" w:eastAsia="Arial" w:hAnsi="Arial"/>
          <w:color w:val="000000"/>
          <w:sz w:val="20"/>
        </w:rPr>
      </w:pPr>
      <w:r w:rsidRPr="00177741">
        <w:rPr>
          <w:rFonts w:ascii="Arial" w:eastAsia="Arial" w:hAnsi="Arial" w:cs="Arial"/>
          <w:color w:val="000000"/>
          <w:sz w:val="20"/>
          <w:szCs w:val="20"/>
        </w:rPr>
        <w:t>It should include</w:t>
      </w:r>
      <w:r w:rsidR="00731763">
        <w:rPr>
          <w:rFonts w:ascii="Arial" w:eastAsia="Arial" w:hAnsi="Arial" w:cs="Arial"/>
          <w:color w:val="000000"/>
          <w:sz w:val="20"/>
          <w:szCs w:val="20"/>
        </w:rPr>
        <w:t>:</w:t>
      </w:r>
    </w:p>
    <w:p w:rsidR="009C2911" w:rsidRPr="0054110D" w:rsidRDefault="009C2911" w:rsidP="006246D3">
      <w:pPr>
        <w:widowControl w:val="0"/>
        <w:numPr>
          <w:ilvl w:val="0"/>
          <w:numId w:val="29"/>
        </w:numPr>
        <w:spacing w:after="0" w:line="276" w:lineRule="auto"/>
        <w:ind w:left="426" w:hanging="284"/>
        <w:contextualSpacing/>
        <w:jc w:val="left"/>
        <w:rPr>
          <w:rFonts w:ascii="Arial" w:eastAsia="Arial" w:hAnsi="Arial"/>
          <w:sz w:val="20"/>
        </w:rPr>
      </w:pPr>
      <w:r w:rsidRPr="0054110D">
        <w:rPr>
          <w:rFonts w:ascii="Arial" w:eastAsia="Arial" w:hAnsi="Arial"/>
          <w:sz w:val="20"/>
        </w:rPr>
        <w:t xml:space="preserve">Estimates of the unit cost of serving individuals by sector, broken down by the specific activities that </w:t>
      </w:r>
      <w:r w:rsidRPr="00B26AC5">
        <w:rPr>
          <w:rFonts w:ascii="Arial" w:eastAsia="Arial" w:hAnsi="Arial"/>
          <w:sz w:val="20"/>
          <w:szCs w:val="24"/>
          <w:lang w:eastAsia="zh-CN"/>
        </w:rPr>
        <w:t>may be provided.</w:t>
      </w:r>
      <w:r w:rsidR="00016D81" w:rsidRPr="00B26AC5">
        <w:rPr>
          <w:rFonts w:ascii="Arial" w:eastAsia="Arial" w:hAnsi="Arial"/>
          <w:sz w:val="20"/>
          <w:szCs w:val="24"/>
          <w:lang w:eastAsia="zh-CN"/>
        </w:rPr>
        <w:t xml:space="preserve"> Unit costs should include weighting for different contexts to estimate the effect of contextual factors</w:t>
      </w:r>
      <w:r w:rsidR="00D1754D" w:rsidRPr="00B26AC5">
        <w:rPr>
          <w:rFonts w:ascii="Arial" w:eastAsia="Arial" w:hAnsi="Arial"/>
          <w:sz w:val="20"/>
          <w:szCs w:val="24"/>
          <w:lang w:eastAsia="zh-CN"/>
        </w:rPr>
        <w:t>, contingencies</w:t>
      </w:r>
      <w:r w:rsidR="00016D81" w:rsidRPr="00B26AC5">
        <w:rPr>
          <w:rFonts w:ascii="Arial" w:eastAsia="Arial" w:hAnsi="Arial"/>
          <w:sz w:val="20"/>
          <w:szCs w:val="24"/>
          <w:lang w:eastAsia="zh-CN"/>
        </w:rPr>
        <w:t xml:space="preserve"> and risks. </w:t>
      </w:r>
      <w:r w:rsidRPr="00B26AC5">
        <w:rPr>
          <w:rFonts w:ascii="Arial" w:eastAsia="Arial" w:hAnsi="Arial"/>
          <w:sz w:val="20"/>
          <w:szCs w:val="24"/>
          <w:lang w:eastAsia="zh-CN"/>
        </w:rPr>
        <w:t xml:space="preserve"> For instance, a cost per person for WASH services would be broken down into separate estimates of the cost per person for clean water delivery, latrine provision, and hygiene promotion. Such a data set would need to be produced in-country but collated centrally, so that methodology can be reasonably assured, and clusters can then share information across countries as necessary. For instance, when an HRP is being developed for a new country, this will allow data from other contexts</w:t>
      </w:r>
      <w:r w:rsidRPr="00DF35CE">
        <w:rPr>
          <w:rFonts w:ascii="Arial" w:eastAsia="Arial" w:hAnsi="Arial"/>
          <w:sz w:val="20"/>
        </w:rPr>
        <w:t xml:space="preserve"> to be surfaced and used.  </w:t>
      </w:r>
    </w:p>
    <w:p w:rsidR="009C2911" w:rsidRPr="0074624C" w:rsidRDefault="009C2911" w:rsidP="006246D3">
      <w:pPr>
        <w:widowControl w:val="0"/>
        <w:numPr>
          <w:ilvl w:val="0"/>
          <w:numId w:val="29"/>
        </w:numPr>
        <w:spacing w:after="0" w:line="276" w:lineRule="auto"/>
        <w:ind w:left="426" w:hanging="284"/>
        <w:contextualSpacing/>
        <w:jc w:val="left"/>
        <w:rPr>
          <w:rFonts w:ascii="Arial" w:eastAsia="Arial" w:hAnsi="Arial"/>
          <w:sz w:val="20"/>
        </w:rPr>
      </w:pPr>
      <w:r w:rsidRPr="0074624C">
        <w:rPr>
          <w:rFonts w:ascii="Arial" w:eastAsia="Arial" w:hAnsi="Arial"/>
          <w:sz w:val="20"/>
        </w:rPr>
        <w:t xml:space="preserve">A clear framework for combining figures from needs assessments with projected unit costs to come up with a total budget envelope by sector. </w:t>
      </w:r>
    </w:p>
    <w:p w:rsidR="009C2911" w:rsidRPr="0054110D" w:rsidRDefault="009C2911" w:rsidP="006246D3">
      <w:pPr>
        <w:widowControl w:val="0"/>
        <w:numPr>
          <w:ilvl w:val="0"/>
          <w:numId w:val="29"/>
        </w:numPr>
        <w:spacing w:after="0" w:line="276" w:lineRule="auto"/>
        <w:ind w:left="426" w:hanging="284"/>
        <w:contextualSpacing/>
        <w:jc w:val="left"/>
        <w:rPr>
          <w:rFonts w:ascii="Arial" w:eastAsia="Arial" w:hAnsi="Arial"/>
          <w:sz w:val="20"/>
        </w:rPr>
      </w:pPr>
      <w:r w:rsidRPr="00DF35CE">
        <w:rPr>
          <w:rFonts w:ascii="Arial" w:eastAsia="Arial" w:hAnsi="Arial"/>
          <w:sz w:val="20"/>
        </w:rPr>
        <w:t>Guidance on how to adjust unit cost estimates based on anticipated risks in that response (e.g. security concerns, political risk, exchange rate risk</w:t>
      </w:r>
      <w:r w:rsidRPr="0054110D">
        <w:rPr>
          <w:rFonts w:ascii="Arial" w:eastAsia="Arial" w:hAnsi="Arial"/>
          <w:sz w:val="20"/>
        </w:rPr>
        <w:t>).</w:t>
      </w:r>
    </w:p>
    <w:p w:rsidR="004B4AE4" w:rsidRPr="00DF35CE" w:rsidRDefault="004B4AE4" w:rsidP="006246D3">
      <w:pPr>
        <w:widowControl w:val="0"/>
        <w:numPr>
          <w:ilvl w:val="0"/>
          <w:numId w:val="29"/>
        </w:numPr>
        <w:spacing w:after="0" w:line="276" w:lineRule="auto"/>
        <w:ind w:left="426" w:hanging="284"/>
        <w:contextualSpacing/>
        <w:jc w:val="left"/>
        <w:rPr>
          <w:rFonts w:ascii="Arial" w:eastAsia="Arial" w:hAnsi="Arial"/>
          <w:sz w:val="20"/>
        </w:rPr>
      </w:pPr>
      <w:r w:rsidRPr="0074624C">
        <w:rPr>
          <w:rFonts w:ascii="Arial" w:eastAsia="Arial" w:hAnsi="Arial"/>
          <w:sz w:val="20"/>
        </w:rPr>
        <w:t>Recommended process (steps, responsibilities, necessary inputs, timing) and indications of the requisite amount of human resources for fully implementing the approach</w:t>
      </w:r>
    </w:p>
    <w:p w:rsidR="007A4B00" w:rsidRDefault="007A4B00" w:rsidP="00CE3AA2">
      <w:pPr>
        <w:keepNext/>
        <w:keepLines/>
        <w:widowControl w:val="0"/>
        <w:spacing w:before="200" w:after="0" w:line="240" w:lineRule="auto"/>
        <w:ind w:left="0" w:firstLine="0"/>
        <w:jc w:val="left"/>
        <w:outlineLvl w:val="2"/>
        <w:rPr>
          <w:rFonts w:ascii="Calibri" w:eastAsia="Calibri" w:hAnsi="Calibri"/>
          <w:b/>
          <w:color w:val="5B9BD5"/>
          <w:sz w:val="24"/>
          <w:lang w:val="en-US"/>
        </w:rPr>
      </w:pPr>
    </w:p>
    <w:p w:rsidR="00B964BA" w:rsidRPr="0054110D" w:rsidRDefault="00B964BA" w:rsidP="00CE3AA2">
      <w:pPr>
        <w:keepNext/>
        <w:keepLines/>
        <w:widowControl w:val="0"/>
        <w:spacing w:before="200" w:after="0" w:line="240" w:lineRule="auto"/>
        <w:ind w:left="0" w:firstLine="0"/>
        <w:jc w:val="left"/>
        <w:outlineLvl w:val="2"/>
        <w:rPr>
          <w:rFonts w:ascii="Calibri" w:eastAsia="Calibri" w:hAnsi="Calibri"/>
          <w:b/>
          <w:color w:val="5B9BD5"/>
          <w:sz w:val="24"/>
          <w:lang w:val="en-US"/>
        </w:rPr>
      </w:pPr>
    </w:p>
    <w:p w:rsidR="007A4B00" w:rsidRPr="0054110D" w:rsidRDefault="00BF2E18" w:rsidP="0054110D">
      <w:pPr>
        <w:pStyle w:val="Heading4"/>
      </w:pPr>
      <w:r>
        <w:t>For project-based costing</w:t>
      </w:r>
    </w:p>
    <w:p w:rsidR="00BF2E18" w:rsidRDefault="00C37511" w:rsidP="0074624C">
      <w:pPr>
        <w:pStyle w:val="NormalWeb"/>
        <w:rPr>
          <w:rFonts w:ascii="Arial" w:eastAsia="Arial" w:hAnsi="Arial" w:cs="Arial"/>
          <w:sz w:val="20"/>
          <w:szCs w:val="20"/>
        </w:rPr>
      </w:pPr>
      <w:r>
        <w:rPr>
          <w:rFonts w:ascii="Arial" w:eastAsia="Arial" w:hAnsi="Arial" w:cs="Arial"/>
          <w:color w:val="000000"/>
          <w:sz w:val="20"/>
          <w:szCs w:val="20"/>
        </w:rPr>
        <w:t>Since this method</w:t>
      </w:r>
      <w:r w:rsidR="00BF2E18">
        <w:rPr>
          <w:rFonts w:ascii="Arial" w:eastAsia="Arial" w:hAnsi="Arial" w:cs="Arial"/>
          <w:color w:val="000000"/>
          <w:sz w:val="20"/>
          <w:szCs w:val="20"/>
        </w:rPr>
        <w:t xml:space="preserve"> </w:t>
      </w:r>
      <w:r>
        <w:rPr>
          <w:rFonts w:ascii="Arial" w:eastAsia="Arial" w:hAnsi="Arial" w:cs="Arial"/>
          <w:color w:val="000000"/>
          <w:sz w:val="20"/>
          <w:szCs w:val="20"/>
        </w:rPr>
        <w:t xml:space="preserve">has already been </w:t>
      </w:r>
      <w:r w:rsidR="00BF2E18">
        <w:rPr>
          <w:rFonts w:ascii="Arial" w:eastAsia="Arial" w:hAnsi="Arial" w:cs="Arial"/>
          <w:color w:val="000000"/>
          <w:sz w:val="20"/>
          <w:szCs w:val="20"/>
        </w:rPr>
        <w:t>documented</w:t>
      </w:r>
      <w:r w:rsidR="005A53A4">
        <w:rPr>
          <w:rStyle w:val="FootnoteReference"/>
          <w:rFonts w:ascii="Arial" w:eastAsia="Arial" w:hAnsi="Arial" w:cs="Arial"/>
          <w:color w:val="000000"/>
          <w:sz w:val="20"/>
          <w:szCs w:val="20"/>
        </w:rPr>
        <w:footnoteReference w:id="5"/>
      </w:r>
      <w:r w:rsidR="00BF2E18">
        <w:rPr>
          <w:rFonts w:ascii="Arial" w:eastAsia="Arial" w:hAnsi="Arial" w:cs="Arial"/>
          <w:color w:val="000000"/>
          <w:sz w:val="20"/>
          <w:szCs w:val="20"/>
        </w:rPr>
        <w:t>, the costing group should focus on i</w:t>
      </w:r>
      <w:r w:rsidR="00BF2E18" w:rsidRPr="00BF2E18">
        <w:rPr>
          <w:rFonts w:ascii="Arial" w:eastAsia="Arial" w:hAnsi="Arial" w:cs="Arial"/>
          <w:color w:val="000000"/>
          <w:sz w:val="20"/>
          <w:szCs w:val="20"/>
        </w:rPr>
        <w:t xml:space="preserve">mproving it wherever possible. </w:t>
      </w:r>
    </w:p>
    <w:p w:rsidR="00BF2E18" w:rsidRPr="00BF2E18" w:rsidRDefault="00BF2E18" w:rsidP="00DF35CE">
      <w:pPr>
        <w:pStyle w:val="NormalWeb"/>
        <w:rPr>
          <w:rFonts w:ascii="Arial" w:eastAsia="Arial" w:hAnsi="Arial" w:cs="Arial"/>
          <w:sz w:val="20"/>
          <w:szCs w:val="20"/>
        </w:rPr>
      </w:pPr>
      <w:r>
        <w:rPr>
          <w:rFonts w:ascii="Arial" w:eastAsia="Arial" w:hAnsi="Arial" w:cs="Arial"/>
          <w:color w:val="000000"/>
          <w:sz w:val="20"/>
          <w:szCs w:val="20"/>
        </w:rPr>
        <w:t>In particular</w:t>
      </w:r>
    </w:p>
    <w:p w:rsidR="004B4AE4" w:rsidRPr="0054110D" w:rsidRDefault="00BF2E18" w:rsidP="006246D3">
      <w:pPr>
        <w:widowControl w:val="0"/>
        <w:numPr>
          <w:ilvl w:val="0"/>
          <w:numId w:val="29"/>
        </w:numPr>
        <w:spacing w:after="0" w:line="276" w:lineRule="auto"/>
        <w:ind w:left="426" w:hanging="284"/>
        <w:contextualSpacing/>
        <w:jc w:val="left"/>
        <w:rPr>
          <w:rFonts w:ascii="Arial" w:eastAsia="Arial" w:hAnsi="Arial"/>
          <w:sz w:val="20"/>
        </w:rPr>
      </w:pPr>
      <w:r w:rsidRPr="0054110D">
        <w:rPr>
          <w:rFonts w:ascii="Arial" w:eastAsia="Arial" w:hAnsi="Arial"/>
          <w:sz w:val="20"/>
        </w:rPr>
        <w:t xml:space="preserve">Evaluate the options for </w:t>
      </w:r>
      <w:r w:rsidRPr="00BF2E18">
        <w:rPr>
          <w:rFonts w:ascii="Arial" w:eastAsia="Arial" w:hAnsi="Arial" w:cs="Arial"/>
          <w:sz w:val="20"/>
          <w:szCs w:val="20"/>
          <w:lang w:eastAsia="zh-CN"/>
        </w:rPr>
        <w:t>s</w:t>
      </w:r>
      <w:r w:rsidR="004B4AE4" w:rsidRPr="00BF2E18">
        <w:rPr>
          <w:rFonts w:ascii="Arial" w:eastAsia="Arial" w:hAnsi="Arial" w:cs="Arial"/>
          <w:sz w:val="20"/>
          <w:szCs w:val="20"/>
          <w:lang w:eastAsia="zh-CN"/>
        </w:rPr>
        <w:t>implified</w:t>
      </w:r>
      <w:r w:rsidR="004B4AE4" w:rsidRPr="0054110D">
        <w:rPr>
          <w:rFonts w:ascii="Arial" w:eastAsia="Arial" w:hAnsi="Arial"/>
          <w:sz w:val="20"/>
        </w:rPr>
        <w:t xml:space="preserve"> projects (requirements/agency/cluster</w:t>
      </w:r>
      <w:r w:rsidR="004B4AE4" w:rsidRPr="00BF2E18">
        <w:rPr>
          <w:rFonts w:ascii="Arial" w:eastAsia="Arial" w:hAnsi="Arial" w:cs="Arial"/>
          <w:sz w:val="20"/>
          <w:szCs w:val="20"/>
          <w:lang w:eastAsia="zh-CN"/>
        </w:rPr>
        <w:t>),</w:t>
      </w:r>
      <w:r w:rsidR="004B4AE4" w:rsidRPr="0054110D">
        <w:rPr>
          <w:rFonts w:ascii="Arial" w:eastAsia="Arial" w:hAnsi="Arial"/>
          <w:sz w:val="20"/>
        </w:rPr>
        <w:t xml:space="preserve"> </w:t>
      </w:r>
      <w:r w:rsidRPr="0054110D">
        <w:rPr>
          <w:rFonts w:ascii="Arial" w:eastAsia="Arial" w:hAnsi="Arial"/>
          <w:sz w:val="20"/>
        </w:rPr>
        <w:t xml:space="preserve">in particular </w:t>
      </w:r>
      <w:r w:rsidR="004B4AE4" w:rsidRPr="0074624C">
        <w:rPr>
          <w:rFonts w:ascii="Arial" w:eastAsia="Arial" w:hAnsi="Arial"/>
          <w:sz w:val="20"/>
        </w:rPr>
        <w:t>if a country team can handle the selection of projects without the information being available through OPS, or if there is agreement that clusters are able to define their requirements based on Agencies</w:t>
      </w:r>
      <w:r w:rsidR="00A13347">
        <w:rPr>
          <w:rFonts w:ascii="Arial" w:eastAsia="Arial" w:hAnsi="Arial"/>
          <w:sz w:val="20"/>
        </w:rPr>
        <w:t>’</w:t>
      </w:r>
      <w:r w:rsidR="004B4AE4" w:rsidRPr="0074624C">
        <w:rPr>
          <w:rFonts w:ascii="Arial" w:eastAsia="Arial" w:hAnsi="Arial"/>
          <w:sz w:val="20"/>
        </w:rPr>
        <w:t xml:space="preserve"> inputs</w:t>
      </w:r>
      <w:r w:rsidR="004B4AE4" w:rsidRPr="0054110D">
        <w:rPr>
          <w:rFonts w:ascii="Arial" w:eastAsia="Arial" w:hAnsi="Arial"/>
          <w:sz w:val="20"/>
        </w:rPr>
        <w:t xml:space="preserve">. </w:t>
      </w:r>
    </w:p>
    <w:p w:rsidR="007A4B00" w:rsidRPr="0054110D" w:rsidRDefault="00BF2E18" w:rsidP="006246D3">
      <w:pPr>
        <w:widowControl w:val="0"/>
        <w:numPr>
          <w:ilvl w:val="0"/>
          <w:numId w:val="29"/>
        </w:numPr>
        <w:spacing w:after="0" w:line="276" w:lineRule="auto"/>
        <w:ind w:left="426" w:hanging="284"/>
        <w:contextualSpacing/>
        <w:jc w:val="left"/>
        <w:rPr>
          <w:rFonts w:ascii="Arial" w:eastAsia="Arial" w:hAnsi="Arial"/>
          <w:sz w:val="20"/>
        </w:rPr>
      </w:pPr>
      <w:r w:rsidRPr="0074624C">
        <w:rPr>
          <w:rFonts w:ascii="Arial" w:eastAsia="Arial" w:hAnsi="Arial"/>
          <w:sz w:val="20"/>
        </w:rPr>
        <w:t xml:space="preserve">The costing group should feed into the development of the </w:t>
      </w:r>
      <w:r w:rsidR="007A4B00" w:rsidRPr="0054110D">
        <w:rPr>
          <w:rFonts w:ascii="Arial" w:eastAsia="Arial" w:hAnsi="Arial"/>
          <w:sz w:val="20"/>
        </w:rPr>
        <w:t>new version of OPS, which should be more user</w:t>
      </w:r>
      <w:r w:rsidR="00A13347">
        <w:rPr>
          <w:rFonts w:ascii="Arial" w:eastAsia="Arial" w:hAnsi="Arial"/>
          <w:sz w:val="20"/>
        </w:rPr>
        <w:t>-</w:t>
      </w:r>
      <w:r w:rsidR="007A4B00" w:rsidRPr="0054110D">
        <w:rPr>
          <w:rFonts w:ascii="Arial" w:eastAsia="Arial" w:hAnsi="Arial"/>
          <w:sz w:val="20"/>
        </w:rPr>
        <w:t>friendly. This version will be piloted in few countries for the 2018 HRPs.</w:t>
      </w:r>
    </w:p>
    <w:p w:rsidR="004B4AE4" w:rsidRPr="006246D3" w:rsidRDefault="00724551" w:rsidP="00A13347">
      <w:pPr>
        <w:widowControl w:val="0"/>
        <w:numPr>
          <w:ilvl w:val="0"/>
          <w:numId w:val="29"/>
        </w:numPr>
        <w:spacing w:after="160" w:line="259" w:lineRule="auto"/>
        <w:ind w:left="426" w:hanging="284"/>
        <w:contextualSpacing/>
        <w:jc w:val="left"/>
        <w:rPr>
          <w:rFonts w:ascii="Calibri" w:eastAsia="Calibri" w:hAnsi="Calibri"/>
          <w:sz w:val="20"/>
        </w:rPr>
      </w:pPr>
      <w:r w:rsidRPr="006246D3">
        <w:rPr>
          <w:rFonts w:ascii="Arial" w:eastAsia="Arial" w:hAnsi="Arial"/>
          <w:sz w:val="20"/>
        </w:rPr>
        <w:t>More education is needed</w:t>
      </w:r>
      <w:r w:rsidR="00553333" w:rsidRPr="006246D3">
        <w:rPr>
          <w:rFonts w:ascii="Arial" w:eastAsia="Arial" w:hAnsi="Arial"/>
          <w:sz w:val="20"/>
        </w:rPr>
        <w:t>. As an example, there is a lack of understanding of what</w:t>
      </w:r>
      <w:r w:rsidRPr="006246D3">
        <w:rPr>
          <w:rFonts w:ascii="Arial" w:eastAsia="Arial" w:hAnsi="Arial"/>
          <w:sz w:val="20"/>
        </w:rPr>
        <w:t xml:space="preserve"> a “project” </w:t>
      </w:r>
      <w:r w:rsidR="00553333" w:rsidRPr="006246D3">
        <w:rPr>
          <w:rFonts w:ascii="Arial" w:eastAsia="Arial" w:hAnsi="Arial"/>
          <w:sz w:val="20"/>
        </w:rPr>
        <w:t xml:space="preserve">(vs a programme) </w:t>
      </w:r>
      <w:r w:rsidRPr="006246D3">
        <w:rPr>
          <w:rFonts w:ascii="Arial" w:eastAsia="Arial" w:hAnsi="Arial"/>
          <w:sz w:val="20"/>
        </w:rPr>
        <w:t xml:space="preserve">really is. </w:t>
      </w:r>
      <w:r w:rsidR="00553333" w:rsidRPr="006246D3">
        <w:rPr>
          <w:rFonts w:ascii="Arial" w:eastAsia="Arial" w:hAnsi="Arial"/>
          <w:sz w:val="20"/>
        </w:rPr>
        <w:t xml:space="preserve">This lack of understanding is quite key in explaining the lack of accuracy of HRPs (at least on the NGO side). </w:t>
      </w:r>
      <w:r w:rsidRPr="006246D3">
        <w:rPr>
          <w:rFonts w:ascii="Arial" w:eastAsia="Arial" w:hAnsi="Arial"/>
          <w:sz w:val="20"/>
        </w:rPr>
        <w:t>Having workshops organised by OCHA and NGO Fora at key moments of the HPC is a</w:t>
      </w:r>
      <w:r w:rsidR="00A13347">
        <w:rPr>
          <w:rFonts w:ascii="Arial" w:eastAsia="Arial" w:hAnsi="Arial"/>
          <w:sz w:val="20"/>
        </w:rPr>
        <w:t>n</w:t>
      </w:r>
      <w:r w:rsidRPr="006246D3">
        <w:rPr>
          <w:rFonts w:ascii="Arial" w:eastAsia="Arial" w:hAnsi="Arial"/>
          <w:sz w:val="20"/>
        </w:rPr>
        <w:t xml:space="preserve"> </w:t>
      </w:r>
      <w:r w:rsidR="00A13347" w:rsidRPr="006246D3">
        <w:rPr>
          <w:rFonts w:ascii="Arial" w:eastAsia="Arial" w:hAnsi="Arial"/>
          <w:sz w:val="20"/>
        </w:rPr>
        <w:t xml:space="preserve">example </w:t>
      </w:r>
      <w:r w:rsidR="005E0238">
        <w:rPr>
          <w:rFonts w:ascii="Arial" w:eastAsia="Arial" w:hAnsi="Arial"/>
          <w:sz w:val="20"/>
        </w:rPr>
        <w:t xml:space="preserve">of </w:t>
      </w:r>
      <w:r w:rsidRPr="006246D3">
        <w:rPr>
          <w:rFonts w:ascii="Arial" w:eastAsia="Arial" w:hAnsi="Arial"/>
          <w:sz w:val="20"/>
        </w:rPr>
        <w:t xml:space="preserve">good practice </w:t>
      </w:r>
      <w:r w:rsidR="00553333" w:rsidRPr="006246D3">
        <w:rPr>
          <w:rFonts w:ascii="Arial" w:eastAsia="Arial" w:hAnsi="Arial"/>
          <w:sz w:val="20"/>
        </w:rPr>
        <w:t>from the Syria context</w:t>
      </w:r>
      <w:r w:rsidRPr="006246D3">
        <w:rPr>
          <w:rFonts w:ascii="Arial" w:eastAsia="Arial" w:hAnsi="Arial"/>
          <w:sz w:val="20"/>
        </w:rPr>
        <w:t xml:space="preserve">. </w:t>
      </w:r>
    </w:p>
    <w:p w:rsidR="004B4AE4" w:rsidRPr="00CE3AA2" w:rsidRDefault="004B4AE4">
      <w:pPr>
        <w:widowControl w:val="0"/>
        <w:spacing w:after="0" w:line="276" w:lineRule="auto"/>
        <w:ind w:left="1080" w:firstLine="0"/>
        <w:contextualSpacing/>
        <w:jc w:val="left"/>
        <w:rPr>
          <w:rFonts w:ascii="Calibri" w:eastAsia="Calibri" w:hAnsi="Calibri" w:cs="Calibri"/>
          <w:sz w:val="20"/>
          <w:szCs w:val="20"/>
          <w:lang w:eastAsia="zh-CN"/>
        </w:rPr>
      </w:pPr>
    </w:p>
    <w:p w:rsidR="004B4AE4" w:rsidRPr="00CE3AA2" w:rsidRDefault="004B4AE4">
      <w:pPr>
        <w:widowControl w:val="0"/>
        <w:spacing w:after="160" w:line="259" w:lineRule="auto"/>
        <w:contextualSpacing/>
        <w:jc w:val="left"/>
        <w:rPr>
          <w:rFonts w:ascii="Calibri" w:eastAsia="Calibri" w:hAnsi="Calibri" w:cs="Calibri"/>
          <w:sz w:val="20"/>
          <w:szCs w:val="20"/>
          <w:lang w:eastAsia="zh-CN"/>
        </w:rPr>
      </w:pPr>
    </w:p>
    <w:p w:rsidR="007A4B00" w:rsidRDefault="007A4B00" w:rsidP="00CE3AA2">
      <w:pPr>
        <w:keepNext/>
        <w:keepLines/>
        <w:widowControl w:val="0"/>
        <w:spacing w:before="200" w:after="0" w:line="240" w:lineRule="auto"/>
        <w:ind w:left="0" w:firstLine="0"/>
        <w:jc w:val="left"/>
        <w:outlineLvl w:val="2"/>
        <w:rPr>
          <w:rFonts w:ascii="Calibri" w:eastAsia="Calibri" w:hAnsi="Calibri" w:cs="Calibri"/>
          <w:b/>
          <w:color w:val="5B9BD5"/>
          <w:sz w:val="24"/>
          <w:szCs w:val="24"/>
          <w:lang w:eastAsia="zh-CN"/>
        </w:rPr>
      </w:pPr>
    </w:p>
    <w:p w:rsidR="00CE3AA2" w:rsidRPr="00CE3AA2" w:rsidRDefault="00CE3AA2" w:rsidP="00CE3AA2">
      <w:pPr>
        <w:widowControl w:val="0"/>
        <w:spacing w:after="160" w:line="259" w:lineRule="auto"/>
        <w:ind w:left="720" w:firstLine="0"/>
        <w:contextualSpacing/>
        <w:jc w:val="left"/>
        <w:rPr>
          <w:rFonts w:ascii="Calibri" w:eastAsia="Calibri" w:hAnsi="Calibri" w:cs="Calibri"/>
          <w:sz w:val="22"/>
          <w:lang w:eastAsia="zh-CN"/>
        </w:rPr>
      </w:pPr>
      <w:bookmarkStart w:id="1" w:name="_gjdgxs" w:colFirst="0" w:colLast="0"/>
      <w:bookmarkEnd w:id="1"/>
    </w:p>
    <w:p w:rsidR="00CE3AA2" w:rsidRPr="00CE3AA2" w:rsidRDefault="00CE3AA2" w:rsidP="00CE3AA2">
      <w:pPr>
        <w:widowControl w:val="0"/>
        <w:spacing w:after="160" w:line="259" w:lineRule="auto"/>
        <w:ind w:left="0" w:firstLine="0"/>
        <w:jc w:val="left"/>
        <w:rPr>
          <w:rFonts w:ascii="Calibri" w:eastAsia="Calibri" w:hAnsi="Calibri" w:cs="Calibri"/>
          <w:sz w:val="22"/>
          <w:lang w:eastAsia="zh-CN"/>
        </w:rPr>
      </w:pPr>
    </w:p>
    <w:p w:rsidR="00CE3AA2" w:rsidRPr="000D6AB1" w:rsidRDefault="00CE3AA2" w:rsidP="00CE3AA2">
      <w:pPr>
        <w:spacing w:after="0" w:line="259" w:lineRule="auto"/>
        <w:ind w:left="0" w:right="56" w:firstLine="0"/>
        <w:jc w:val="left"/>
        <w:rPr>
          <w:sz w:val="22"/>
        </w:rPr>
      </w:pPr>
    </w:p>
    <w:sectPr w:rsidR="00CE3AA2" w:rsidRPr="000D6AB1" w:rsidSect="00FA0457">
      <w:footerReference w:type="default" r:id="rId8"/>
      <w:footnotePr>
        <w:numRestart w:val="eachPage"/>
      </w:footnotePr>
      <w:pgSz w:w="12240" w:h="15840"/>
      <w:pgMar w:top="1440" w:right="1440" w:bottom="1134" w:left="1440" w:header="748" w:footer="539" w:gutter="0"/>
      <w:cols w:space="720"/>
      <w:docGrid w:linePitch="3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C8CB4" w16cid:durableId="1D00A7B2"/>
  <w16cid:commentId w16cid:paraId="7772A88A" w16cid:durableId="1D00A7B3"/>
  <w16cid:commentId w16cid:paraId="2386F643" w16cid:durableId="1D00A7B4"/>
  <w16cid:commentId w16cid:paraId="77BB90A1" w16cid:durableId="1D00A7B5"/>
  <w16cid:commentId w16cid:paraId="4A03BD10" w16cid:durableId="1D00A7B6"/>
  <w16cid:commentId w16cid:paraId="614C879F" w16cid:durableId="1D00A7B7"/>
  <w16cid:commentId w16cid:paraId="25F30062" w16cid:durableId="1D00A7B8"/>
  <w16cid:commentId w16cid:paraId="5CA66568" w16cid:durableId="1D00A7B9"/>
  <w16cid:commentId w16cid:paraId="47B86339" w16cid:durableId="1D00A7BA"/>
  <w16cid:commentId w16cid:paraId="2473067B" w16cid:durableId="1D00A7BB"/>
  <w16cid:commentId w16cid:paraId="58BB0936" w16cid:durableId="1D00A7BC"/>
  <w16cid:commentId w16cid:paraId="0C3A94EE" w16cid:durableId="1D00A7BD"/>
  <w16cid:commentId w16cid:paraId="646818A0" w16cid:durableId="1D00A7BE"/>
  <w16cid:commentId w16cid:paraId="24F0C054" w16cid:durableId="1D00A7BF"/>
  <w16cid:commentId w16cid:paraId="5F48B0FA" w16cid:durableId="1D00A7C0"/>
  <w16cid:commentId w16cid:paraId="0D1D8E13" w16cid:durableId="1D00A7C1"/>
  <w16cid:commentId w16cid:paraId="1DD6E472" w16cid:durableId="1D00A7C2"/>
  <w16cid:commentId w16cid:paraId="6F9D4FAF" w16cid:durableId="1D00A7C3"/>
  <w16cid:commentId w16cid:paraId="18F83CDE" w16cid:durableId="1D00A7C4"/>
  <w16cid:commentId w16cid:paraId="40085AA4" w16cid:durableId="1D00A7C5"/>
  <w16cid:commentId w16cid:paraId="4BE6097E" w16cid:durableId="1D00A7C6"/>
  <w16cid:commentId w16cid:paraId="7982F90D" w16cid:durableId="1D00A7C7"/>
  <w16cid:commentId w16cid:paraId="3CE85CA9" w16cid:durableId="1D00A7C8"/>
  <w16cid:commentId w16cid:paraId="77F4288E" w16cid:durableId="1D00A7C9"/>
  <w16cid:commentId w16cid:paraId="4C00C85F" w16cid:durableId="1D00A7CA"/>
  <w16cid:commentId w16cid:paraId="0224E648" w16cid:durableId="1D00A7CB"/>
  <w16cid:commentId w16cid:paraId="47009D39" w16cid:durableId="1D00A7CC"/>
  <w16cid:commentId w16cid:paraId="24937A69" w16cid:durableId="1D00A7CD"/>
  <w16cid:commentId w16cid:paraId="6B66B631" w16cid:durableId="1D00A7CE"/>
  <w16cid:commentId w16cid:paraId="124484B2" w16cid:durableId="1D00AB97"/>
  <w16cid:commentId w16cid:paraId="69A34993" w16cid:durableId="1D00AB96"/>
  <w16cid:commentId w16cid:paraId="384A6CFC" w16cid:durableId="1D00AB95"/>
  <w16cid:commentId w16cid:paraId="1A43DE8F" w16cid:durableId="1D00AB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A78" w:rsidRDefault="00CE4A78">
      <w:pPr>
        <w:spacing w:after="0" w:line="240" w:lineRule="auto"/>
      </w:pPr>
      <w:r>
        <w:separator/>
      </w:r>
    </w:p>
  </w:endnote>
  <w:endnote w:type="continuationSeparator" w:id="0">
    <w:p w:rsidR="00CE4A78" w:rsidRDefault="00CE4A78">
      <w:pPr>
        <w:spacing w:after="0" w:line="240" w:lineRule="auto"/>
      </w:pPr>
      <w:r>
        <w:continuationSeparator/>
      </w:r>
    </w:p>
  </w:endnote>
  <w:endnote w:type="continuationNotice" w:id="1">
    <w:p w:rsidR="00CE4A78" w:rsidRDefault="00CE4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251004"/>
      <w:docPartObj>
        <w:docPartGallery w:val="Page Numbers (Bottom of Page)"/>
        <w:docPartUnique/>
      </w:docPartObj>
    </w:sdtPr>
    <w:sdtEndPr>
      <w:rPr>
        <w:noProof/>
      </w:rPr>
    </w:sdtEndPr>
    <w:sdtContent>
      <w:p w:rsidR="00223528" w:rsidRDefault="00223528">
        <w:pPr>
          <w:pStyle w:val="Footer"/>
        </w:pPr>
        <w:r>
          <w:fldChar w:fldCharType="begin"/>
        </w:r>
        <w:r>
          <w:instrText xml:space="preserve"> PAGE   \* MERGEFORMAT </w:instrText>
        </w:r>
        <w:r>
          <w:fldChar w:fldCharType="separate"/>
        </w:r>
        <w:r w:rsidR="00483067">
          <w:rPr>
            <w:noProof/>
          </w:rPr>
          <w:t>1</w:t>
        </w:r>
        <w:r>
          <w:rPr>
            <w:noProof/>
          </w:rPr>
          <w:fldChar w:fldCharType="end"/>
        </w:r>
      </w:p>
    </w:sdtContent>
  </w:sdt>
  <w:p w:rsidR="00223528" w:rsidRDefault="00223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A78" w:rsidRDefault="00CE4A78">
      <w:pPr>
        <w:spacing w:after="0" w:line="287" w:lineRule="auto"/>
        <w:ind w:left="133" w:hanging="133"/>
        <w:jc w:val="left"/>
      </w:pPr>
      <w:r>
        <w:separator/>
      </w:r>
    </w:p>
  </w:footnote>
  <w:footnote w:type="continuationSeparator" w:id="0">
    <w:p w:rsidR="00CE4A78" w:rsidRDefault="00CE4A78">
      <w:pPr>
        <w:spacing w:after="0" w:line="287" w:lineRule="auto"/>
        <w:ind w:left="133" w:hanging="133"/>
        <w:jc w:val="left"/>
      </w:pPr>
      <w:r>
        <w:continuationSeparator/>
      </w:r>
    </w:p>
  </w:footnote>
  <w:footnote w:type="continuationNotice" w:id="1">
    <w:p w:rsidR="00CE4A78" w:rsidRDefault="00CE4A78">
      <w:pPr>
        <w:spacing w:after="0" w:line="240" w:lineRule="auto"/>
      </w:pPr>
    </w:p>
  </w:footnote>
  <w:footnote w:id="2">
    <w:p w:rsidR="00661554" w:rsidRPr="00661554" w:rsidRDefault="00661554">
      <w:pPr>
        <w:pStyle w:val="FootnoteText"/>
      </w:pPr>
      <w:r>
        <w:rPr>
          <w:rStyle w:val="FootnoteReference"/>
        </w:rPr>
        <w:footnoteRef/>
      </w:r>
      <w:r>
        <w:t xml:space="preserve"> </w:t>
      </w:r>
      <w:r w:rsidRPr="00661554">
        <w:t>ACBAR, the Agency Coordinating Body for Afghan Relief &amp; Development, is an Afghan independent body bringing together 135 national and international NGOs working in Afghanistan</w:t>
      </w:r>
      <w:r>
        <w:t>.</w:t>
      </w:r>
    </w:p>
  </w:footnote>
  <w:footnote w:id="3">
    <w:p w:rsidR="0054110D" w:rsidRPr="00892B38" w:rsidRDefault="0054110D" w:rsidP="00FA0457">
      <w:pPr>
        <w:pStyle w:val="FootnoteText"/>
        <w:rPr>
          <w:lang w:val="en-GB"/>
        </w:rPr>
      </w:pPr>
      <w:r>
        <w:rPr>
          <w:rStyle w:val="FootnoteReference"/>
        </w:rPr>
        <w:footnoteRef/>
      </w:r>
      <w:r>
        <w:t xml:space="preserve"> For simplicity and consistency, it has been agreed that the term “unit-based costing” would be used, as the previous term of “activity based costing” was deemed too narrow. </w:t>
      </w:r>
    </w:p>
  </w:footnote>
  <w:footnote w:id="4">
    <w:p w:rsidR="0054110D" w:rsidRPr="00FA0457" w:rsidRDefault="0054110D" w:rsidP="00FA0457">
      <w:pPr>
        <w:pStyle w:val="FootnoteText"/>
        <w:rPr>
          <w:lang w:val="en-GB"/>
        </w:rPr>
      </w:pPr>
      <w:r w:rsidRPr="00FA0457">
        <w:rPr>
          <w:rStyle w:val="FootnoteReference"/>
        </w:rPr>
        <w:footnoteRef/>
      </w:r>
      <w:r w:rsidRPr="00FA0457">
        <w:t xml:space="preserve"> </w:t>
      </w:r>
      <w:r w:rsidRPr="00FA0457">
        <w:rPr>
          <w:lang w:val="en-GB"/>
        </w:rPr>
        <w:t xml:space="preserve">Can be found here: </w:t>
      </w:r>
      <w:r w:rsidRPr="00FA0457">
        <w:rPr>
          <w:rStyle w:val="CommentReference"/>
        </w:rPr>
        <w:t>https://docs.unocha.org/sites/dms/CAP/2014_SRP_guidance-27_Sep_2013_EN.pdf</w:t>
      </w:r>
    </w:p>
  </w:footnote>
  <w:footnote w:id="5">
    <w:p w:rsidR="005A53A4" w:rsidRPr="00C37511" w:rsidRDefault="005A53A4" w:rsidP="005A53A4">
      <w:pPr>
        <w:pStyle w:val="FootnoteText"/>
        <w:rPr>
          <w:lang w:val="en-GB"/>
        </w:rPr>
      </w:pPr>
      <w:r w:rsidRPr="00FA0457">
        <w:rPr>
          <w:rStyle w:val="FootnoteReference"/>
        </w:rPr>
        <w:footnoteRef/>
      </w:r>
      <w:r w:rsidRPr="00FA0457">
        <w:t xml:space="preserve"> </w:t>
      </w:r>
      <w:r>
        <w:t>In the IASC endorsed SRP/HRP guidance</w:t>
      </w:r>
      <w:r w:rsidRPr="00FA0457">
        <w:rPr>
          <w:lang w:val="en-GB"/>
        </w:rPr>
        <w:t xml:space="preserve">: </w:t>
      </w:r>
      <w:hyperlink r:id="rId1" w:history="1">
        <w:r w:rsidRPr="00271B3F">
          <w:rPr>
            <w:rStyle w:val="Hyperlink"/>
          </w:rPr>
          <w:t>https://docs.unocha.org/sites/dms/CAP/2014_SRP_guidance-27_Sep_2013_EN.pdf</w:t>
        </w:r>
      </w:hyperlink>
      <w:r>
        <w:rPr>
          <w:rStyle w:val="CommentReferenc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BD4"/>
    <w:multiLevelType w:val="hybridMultilevel"/>
    <w:tmpl w:val="B336A62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458586E"/>
    <w:multiLevelType w:val="hybridMultilevel"/>
    <w:tmpl w:val="34368C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7A6B55"/>
    <w:multiLevelType w:val="hybridMultilevel"/>
    <w:tmpl w:val="EDCE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B4C8A"/>
    <w:multiLevelType w:val="multilevel"/>
    <w:tmpl w:val="08AAD3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85F4578"/>
    <w:multiLevelType w:val="multilevel"/>
    <w:tmpl w:val="B7F263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F3C1B2C"/>
    <w:multiLevelType w:val="hybridMultilevel"/>
    <w:tmpl w:val="24260A3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 w15:restartNumberingAfterBreak="0">
    <w:nsid w:val="102C2E29"/>
    <w:multiLevelType w:val="hybridMultilevel"/>
    <w:tmpl w:val="2CBCAE3E"/>
    <w:lvl w:ilvl="0" w:tplc="079A0E22">
      <w:start w:val="1"/>
      <w:numFmt w:val="decimal"/>
      <w:lvlText w:val="%1."/>
      <w:lvlJc w:val="left"/>
      <w:pPr>
        <w:ind w:left="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FAE8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68040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B21C8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ADCE17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54C09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5CEBB3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4EFF5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66CD89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69453CB"/>
    <w:multiLevelType w:val="hybridMultilevel"/>
    <w:tmpl w:val="E8D84EC8"/>
    <w:lvl w:ilvl="0" w:tplc="D66CA4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B65BB"/>
    <w:multiLevelType w:val="hybridMultilevel"/>
    <w:tmpl w:val="FF564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61C83"/>
    <w:multiLevelType w:val="hybridMultilevel"/>
    <w:tmpl w:val="1D128A40"/>
    <w:lvl w:ilvl="0" w:tplc="17F21AB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C673F"/>
    <w:multiLevelType w:val="hybridMultilevel"/>
    <w:tmpl w:val="4E8C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B3B4D"/>
    <w:multiLevelType w:val="multilevel"/>
    <w:tmpl w:val="6428EB22"/>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11B4FB9"/>
    <w:multiLevelType w:val="hybridMultilevel"/>
    <w:tmpl w:val="8648E546"/>
    <w:lvl w:ilvl="0" w:tplc="56FC9D9C">
      <w:start w:val="1"/>
      <w:numFmt w:val="decimal"/>
      <w:lvlText w:val="%1."/>
      <w:lvlJc w:val="left"/>
      <w:pPr>
        <w:ind w:left="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1F40306">
      <w:start w:val="1"/>
      <w:numFmt w:val="lowerLetter"/>
      <w:lvlText w:val="%2"/>
      <w:lvlJc w:val="left"/>
      <w:pPr>
        <w:ind w:left="1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8E489E">
      <w:start w:val="1"/>
      <w:numFmt w:val="lowerRoman"/>
      <w:lvlText w:val="%3"/>
      <w:lvlJc w:val="left"/>
      <w:pPr>
        <w:ind w:left="19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19AC026">
      <w:start w:val="1"/>
      <w:numFmt w:val="decimal"/>
      <w:lvlText w:val="%4"/>
      <w:lvlJc w:val="left"/>
      <w:pPr>
        <w:ind w:left="26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BAA8EE4">
      <w:start w:val="1"/>
      <w:numFmt w:val="lowerLetter"/>
      <w:lvlText w:val="%5"/>
      <w:lvlJc w:val="left"/>
      <w:pPr>
        <w:ind w:left="3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B02D480">
      <w:start w:val="1"/>
      <w:numFmt w:val="lowerRoman"/>
      <w:lvlText w:val="%6"/>
      <w:lvlJc w:val="left"/>
      <w:pPr>
        <w:ind w:left="4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64F762">
      <w:start w:val="1"/>
      <w:numFmt w:val="decimal"/>
      <w:lvlText w:val="%7"/>
      <w:lvlJc w:val="left"/>
      <w:pPr>
        <w:ind w:left="4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AEE3760">
      <w:start w:val="1"/>
      <w:numFmt w:val="lowerLetter"/>
      <w:lvlText w:val="%8"/>
      <w:lvlJc w:val="left"/>
      <w:pPr>
        <w:ind w:left="5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8D0A24E">
      <w:start w:val="1"/>
      <w:numFmt w:val="lowerRoman"/>
      <w:lvlText w:val="%9"/>
      <w:lvlJc w:val="left"/>
      <w:pPr>
        <w:ind w:left="6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1D770D1"/>
    <w:multiLevelType w:val="hybridMultilevel"/>
    <w:tmpl w:val="794AB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3E4ECE"/>
    <w:multiLevelType w:val="hybridMultilevel"/>
    <w:tmpl w:val="C8AABCA4"/>
    <w:lvl w:ilvl="0" w:tplc="5D98FA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3690F"/>
    <w:multiLevelType w:val="hybridMultilevel"/>
    <w:tmpl w:val="6FA6A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5386D"/>
    <w:multiLevelType w:val="multilevel"/>
    <w:tmpl w:val="D0ACF26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7" w15:restartNumberingAfterBreak="0">
    <w:nsid w:val="2D525568"/>
    <w:multiLevelType w:val="hybridMultilevel"/>
    <w:tmpl w:val="CB121EFE"/>
    <w:lvl w:ilvl="0" w:tplc="DFAEC27E">
      <w:start w:val="1"/>
      <w:numFmt w:val="decimal"/>
      <w:lvlText w:val="%1."/>
      <w:lvlJc w:val="left"/>
      <w:pPr>
        <w:ind w:left="720" w:hanging="360"/>
      </w:pPr>
      <w:rPr>
        <w:rFonts w:ascii="Calibri" w:hAnsi="Calibri"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EC33328"/>
    <w:multiLevelType w:val="hybridMultilevel"/>
    <w:tmpl w:val="62AE05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76506"/>
    <w:multiLevelType w:val="multilevel"/>
    <w:tmpl w:val="E6D05B50"/>
    <w:lvl w:ilvl="0">
      <w:start w:val="1"/>
      <w:numFmt w:val="bullet"/>
      <w:lvlText w:val="●"/>
      <w:lvlJc w:val="left"/>
      <w:pPr>
        <w:ind w:left="0" w:firstLine="0"/>
      </w:pPr>
      <w:rPr>
        <w:rFonts w:ascii="Arial" w:eastAsia="Arial" w:hAnsi="Arial" w:cs="Arial"/>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5967F41"/>
    <w:multiLevelType w:val="hybridMultilevel"/>
    <w:tmpl w:val="5888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C39B4"/>
    <w:multiLevelType w:val="hybridMultilevel"/>
    <w:tmpl w:val="83D29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2A3346"/>
    <w:multiLevelType w:val="hybridMultilevel"/>
    <w:tmpl w:val="5B2ABC2C"/>
    <w:lvl w:ilvl="0" w:tplc="596E35EE">
      <w:start w:val="7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462C4"/>
    <w:multiLevelType w:val="hybridMultilevel"/>
    <w:tmpl w:val="F2A64A28"/>
    <w:lvl w:ilvl="0" w:tplc="5D98FA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94E38"/>
    <w:multiLevelType w:val="multilevel"/>
    <w:tmpl w:val="1B3AD48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5" w15:restartNumberingAfterBreak="0">
    <w:nsid w:val="45E10DBB"/>
    <w:multiLevelType w:val="multilevel"/>
    <w:tmpl w:val="CED08DC0"/>
    <w:lvl w:ilvl="0">
      <w:start w:val="1"/>
      <w:numFmt w:val="bullet"/>
      <w:lvlText w:val="●"/>
      <w:lvlJc w:val="left"/>
      <w:pPr>
        <w:ind w:left="502" w:firstLine="142"/>
      </w:pPr>
      <w:rPr>
        <w:rFonts w:ascii="Arial" w:eastAsia="Arial" w:hAnsi="Arial" w:cs="Arial"/>
      </w:rPr>
    </w:lvl>
    <w:lvl w:ilvl="1">
      <w:start w:val="1"/>
      <w:numFmt w:val="bullet"/>
      <w:lvlText w:val="o"/>
      <w:lvlJc w:val="left"/>
      <w:pPr>
        <w:ind w:left="1222" w:firstLine="862"/>
      </w:pPr>
      <w:rPr>
        <w:rFonts w:ascii="Arial" w:eastAsia="Arial" w:hAnsi="Arial" w:cs="Arial"/>
      </w:rPr>
    </w:lvl>
    <w:lvl w:ilvl="2">
      <w:start w:val="1"/>
      <w:numFmt w:val="bullet"/>
      <w:lvlText w:val="▪"/>
      <w:lvlJc w:val="left"/>
      <w:pPr>
        <w:ind w:left="1942" w:firstLine="1582"/>
      </w:pPr>
      <w:rPr>
        <w:rFonts w:ascii="Arial" w:eastAsia="Arial" w:hAnsi="Arial" w:cs="Arial"/>
      </w:rPr>
    </w:lvl>
    <w:lvl w:ilvl="3">
      <w:start w:val="1"/>
      <w:numFmt w:val="bullet"/>
      <w:lvlText w:val="●"/>
      <w:lvlJc w:val="left"/>
      <w:pPr>
        <w:ind w:left="2662" w:firstLine="2302"/>
      </w:pPr>
      <w:rPr>
        <w:rFonts w:ascii="Arial" w:eastAsia="Arial" w:hAnsi="Arial" w:cs="Arial"/>
      </w:rPr>
    </w:lvl>
    <w:lvl w:ilvl="4">
      <w:start w:val="1"/>
      <w:numFmt w:val="bullet"/>
      <w:lvlText w:val="o"/>
      <w:lvlJc w:val="left"/>
      <w:pPr>
        <w:ind w:left="3382" w:firstLine="3022"/>
      </w:pPr>
      <w:rPr>
        <w:rFonts w:ascii="Arial" w:eastAsia="Arial" w:hAnsi="Arial" w:cs="Arial"/>
      </w:rPr>
    </w:lvl>
    <w:lvl w:ilvl="5">
      <w:start w:val="1"/>
      <w:numFmt w:val="bullet"/>
      <w:lvlText w:val="▪"/>
      <w:lvlJc w:val="left"/>
      <w:pPr>
        <w:ind w:left="4102" w:firstLine="3742"/>
      </w:pPr>
      <w:rPr>
        <w:rFonts w:ascii="Arial" w:eastAsia="Arial" w:hAnsi="Arial" w:cs="Arial"/>
      </w:rPr>
    </w:lvl>
    <w:lvl w:ilvl="6">
      <w:start w:val="1"/>
      <w:numFmt w:val="bullet"/>
      <w:lvlText w:val="●"/>
      <w:lvlJc w:val="left"/>
      <w:pPr>
        <w:ind w:left="4822" w:firstLine="4462"/>
      </w:pPr>
      <w:rPr>
        <w:rFonts w:ascii="Arial" w:eastAsia="Arial" w:hAnsi="Arial" w:cs="Arial"/>
      </w:rPr>
    </w:lvl>
    <w:lvl w:ilvl="7">
      <w:start w:val="1"/>
      <w:numFmt w:val="bullet"/>
      <w:lvlText w:val="o"/>
      <w:lvlJc w:val="left"/>
      <w:pPr>
        <w:ind w:left="5542" w:firstLine="5182"/>
      </w:pPr>
      <w:rPr>
        <w:rFonts w:ascii="Arial" w:eastAsia="Arial" w:hAnsi="Arial" w:cs="Arial"/>
      </w:rPr>
    </w:lvl>
    <w:lvl w:ilvl="8">
      <w:start w:val="1"/>
      <w:numFmt w:val="bullet"/>
      <w:lvlText w:val="▪"/>
      <w:lvlJc w:val="left"/>
      <w:pPr>
        <w:ind w:left="6262" w:firstLine="5902"/>
      </w:pPr>
      <w:rPr>
        <w:rFonts w:ascii="Arial" w:eastAsia="Arial" w:hAnsi="Arial" w:cs="Arial"/>
      </w:rPr>
    </w:lvl>
  </w:abstractNum>
  <w:abstractNum w:abstractNumId="26" w15:restartNumberingAfterBreak="0">
    <w:nsid w:val="4B902683"/>
    <w:multiLevelType w:val="hybridMultilevel"/>
    <w:tmpl w:val="6596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B603B"/>
    <w:multiLevelType w:val="hybridMultilevel"/>
    <w:tmpl w:val="08C8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27C46"/>
    <w:multiLevelType w:val="hybridMultilevel"/>
    <w:tmpl w:val="E10E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D7548"/>
    <w:multiLevelType w:val="hybridMultilevel"/>
    <w:tmpl w:val="56743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6734335"/>
    <w:multiLevelType w:val="hybridMultilevel"/>
    <w:tmpl w:val="C0AC3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967C0"/>
    <w:multiLevelType w:val="hybridMultilevel"/>
    <w:tmpl w:val="BD449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A57E6B"/>
    <w:multiLevelType w:val="multilevel"/>
    <w:tmpl w:val="40F0B0F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EB348ED"/>
    <w:multiLevelType w:val="hybridMultilevel"/>
    <w:tmpl w:val="E0F6F1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1A42964"/>
    <w:multiLevelType w:val="hybridMultilevel"/>
    <w:tmpl w:val="4D7E66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5E73EC"/>
    <w:multiLevelType w:val="multilevel"/>
    <w:tmpl w:val="003411B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6" w15:restartNumberingAfterBreak="0">
    <w:nsid w:val="653E3B11"/>
    <w:multiLevelType w:val="hybridMultilevel"/>
    <w:tmpl w:val="8642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13979"/>
    <w:multiLevelType w:val="multilevel"/>
    <w:tmpl w:val="C8FA9A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A34F0F"/>
    <w:multiLevelType w:val="multilevel"/>
    <w:tmpl w:val="91E4616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9" w15:restartNumberingAfterBreak="0">
    <w:nsid w:val="71CE4690"/>
    <w:multiLevelType w:val="hybridMultilevel"/>
    <w:tmpl w:val="7FA20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422084"/>
    <w:multiLevelType w:val="hybridMultilevel"/>
    <w:tmpl w:val="2F9A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33367"/>
    <w:multiLevelType w:val="hybridMultilevel"/>
    <w:tmpl w:val="5A3043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F6D46ED"/>
    <w:multiLevelType w:val="hybridMultilevel"/>
    <w:tmpl w:val="4BB250AA"/>
    <w:lvl w:ilvl="0" w:tplc="004237F0">
      <w:start w:val="1"/>
      <w:numFmt w:val="bullet"/>
      <w:lvlText w:val="■"/>
      <w:lvlJc w:val="left"/>
      <w:pPr>
        <w:tabs>
          <w:tab w:val="num" w:pos="720"/>
        </w:tabs>
        <w:ind w:left="720" w:hanging="360"/>
      </w:pPr>
      <w:rPr>
        <w:rFonts w:ascii="Lucida Grande" w:hAnsi="Lucida Grande" w:hint="default"/>
      </w:rPr>
    </w:lvl>
    <w:lvl w:ilvl="1" w:tplc="79BCAFBC">
      <w:start w:val="1"/>
      <w:numFmt w:val="bullet"/>
      <w:lvlText w:val="■"/>
      <w:lvlJc w:val="left"/>
      <w:pPr>
        <w:tabs>
          <w:tab w:val="num" w:pos="1440"/>
        </w:tabs>
        <w:ind w:left="1440" w:hanging="360"/>
      </w:pPr>
      <w:rPr>
        <w:rFonts w:ascii="Lucida Grande" w:hAnsi="Lucida Grande" w:hint="default"/>
      </w:rPr>
    </w:lvl>
    <w:lvl w:ilvl="2" w:tplc="63263A30" w:tentative="1">
      <w:start w:val="1"/>
      <w:numFmt w:val="bullet"/>
      <w:lvlText w:val="■"/>
      <w:lvlJc w:val="left"/>
      <w:pPr>
        <w:tabs>
          <w:tab w:val="num" w:pos="2160"/>
        </w:tabs>
        <w:ind w:left="2160" w:hanging="360"/>
      </w:pPr>
      <w:rPr>
        <w:rFonts w:ascii="Lucida Grande" w:hAnsi="Lucida Grande" w:hint="default"/>
      </w:rPr>
    </w:lvl>
    <w:lvl w:ilvl="3" w:tplc="B5285E88" w:tentative="1">
      <w:start w:val="1"/>
      <w:numFmt w:val="bullet"/>
      <w:lvlText w:val="■"/>
      <w:lvlJc w:val="left"/>
      <w:pPr>
        <w:tabs>
          <w:tab w:val="num" w:pos="2880"/>
        </w:tabs>
        <w:ind w:left="2880" w:hanging="360"/>
      </w:pPr>
      <w:rPr>
        <w:rFonts w:ascii="Lucida Grande" w:hAnsi="Lucida Grande" w:hint="default"/>
      </w:rPr>
    </w:lvl>
    <w:lvl w:ilvl="4" w:tplc="0512DB4E" w:tentative="1">
      <w:start w:val="1"/>
      <w:numFmt w:val="bullet"/>
      <w:lvlText w:val="■"/>
      <w:lvlJc w:val="left"/>
      <w:pPr>
        <w:tabs>
          <w:tab w:val="num" w:pos="3600"/>
        </w:tabs>
        <w:ind w:left="3600" w:hanging="360"/>
      </w:pPr>
      <w:rPr>
        <w:rFonts w:ascii="Lucida Grande" w:hAnsi="Lucida Grande" w:hint="default"/>
      </w:rPr>
    </w:lvl>
    <w:lvl w:ilvl="5" w:tplc="D4706584" w:tentative="1">
      <w:start w:val="1"/>
      <w:numFmt w:val="bullet"/>
      <w:lvlText w:val="■"/>
      <w:lvlJc w:val="left"/>
      <w:pPr>
        <w:tabs>
          <w:tab w:val="num" w:pos="4320"/>
        </w:tabs>
        <w:ind w:left="4320" w:hanging="360"/>
      </w:pPr>
      <w:rPr>
        <w:rFonts w:ascii="Lucida Grande" w:hAnsi="Lucida Grande" w:hint="default"/>
      </w:rPr>
    </w:lvl>
    <w:lvl w:ilvl="6" w:tplc="DF487FEC" w:tentative="1">
      <w:start w:val="1"/>
      <w:numFmt w:val="bullet"/>
      <w:lvlText w:val="■"/>
      <w:lvlJc w:val="left"/>
      <w:pPr>
        <w:tabs>
          <w:tab w:val="num" w:pos="5040"/>
        </w:tabs>
        <w:ind w:left="5040" w:hanging="360"/>
      </w:pPr>
      <w:rPr>
        <w:rFonts w:ascii="Lucida Grande" w:hAnsi="Lucida Grande" w:hint="default"/>
      </w:rPr>
    </w:lvl>
    <w:lvl w:ilvl="7" w:tplc="1F80E512" w:tentative="1">
      <w:start w:val="1"/>
      <w:numFmt w:val="bullet"/>
      <w:lvlText w:val="■"/>
      <w:lvlJc w:val="left"/>
      <w:pPr>
        <w:tabs>
          <w:tab w:val="num" w:pos="5760"/>
        </w:tabs>
        <w:ind w:left="5760" w:hanging="360"/>
      </w:pPr>
      <w:rPr>
        <w:rFonts w:ascii="Lucida Grande" w:hAnsi="Lucida Grande" w:hint="default"/>
      </w:rPr>
    </w:lvl>
    <w:lvl w:ilvl="8" w:tplc="A552A7B4" w:tentative="1">
      <w:start w:val="1"/>
      <w:numFmt w:val="bullet"/>
      <w:lvlText w:val="■"/>
      <w:lvlJc w:val="left"/>
      <w:pPr>
        <w:tabs>
          <w:tab w:val="num" w:pos="6480"/>
        </w:tabs>
        <w:ind w:left="6480" w:hanging="360"/>
      </w:pPr>
      <w:rPr>
        <w:rFonts w:ascii="Lucida Grande" w:hAnsi="Lucida Grande" w:hint="default"/>
      </w:rPr>
    </w:lvl>
  </w:abstractNum>
  <w:abstractNum w:abstractNumId="43" w15:restartNumberingAfterBreak="0">
    <w:nsid w:val="7FCB63E1"/>
    <w:multiLevelType w:val="hybridMultilevel"/>
    <w:tmpl w:val="8914332E"/>
    <w:lvl w:ilvl="0" w:tplc="0413000F">
      <w:start w:val="1"/>
      <w:numFmt w:val="decimal"/>
      <w:lvlText w:val="%1."/>
      <w:lvlJc w:val="left"/>
      <w:pPr>
        <w:ind w:left="720" w:hanging="360"/>
      </w:pPr>
    </w:lvl>
    <w:lvl w:ilvl="1" w:tplc="C116E99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27"/>
  </w:num>
  <w:num w:numId="5">
    <w:abstractNumId w:val="23"/>
  </w:num>
  <w:num w:numId="6">
    <w:abstractNumId w:val="8"/>
  </w:num>
  <w:num w:numId="7">
    <w:abstractNumId w:val="37"/>
  </w:num>
  <w:num w:numId="8">
    <w:abstractNumId w:val="13"/>
  </w:num>
  <w:num w:numId="9">
    <w:abstractNumId w:val="2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2"/>
  </w:num>
  <w:num w:numId="13">
    <w:abstractNumId w:val="28"/>
  </w:num>
  <w:num w:numId="14">
    <w:abstractNumId w:val="0"/>
  </w:num>
  <w:num w:numId="15">
    <w:abstractNumId w:val="36"/>
  </w:num>
  <w:num w:numId="16">
    <w:abstractNumId w:val="43"/>
  </w:num>
  <w:num w:numId="17">
    <w:abstractNumId w:val="41"/>
  </w:num>
  <w:num w:numId="18">
    <w:abstractNumId w:val="40"/>
  </w:num>
  <w:num w:numId="19">
    <w:abstractNumId w:val="5"/>
  </w:num>
  <w:num w:numId="20">
    <w:abstractNumId w:val="31"/>
  </w:num>
  <w:num w:numId="21">
    <w:abstractNumId w:val="9"/>
  </w:num>
  <w:num w:numId="22">
    <w:abstractNumId w:val="15"/>
  </w:num>
  <w:num w:numId="23">
    <w:abstractNumId w:val="34"/>
  </w:num>
  <w:num w:numId="24">
    <w:abstractNumId w:val="22"/>
  </w:num>
  <w:num w:numId="25">
    <w:abstractNumId w:val="16"/>
  </w:num>
  <w:num w:numId="26">
    <w:abstractNumId w:val="11"/>
  </w:num>
  <w:num w:numId="27">
    <w:abstractNumId w:val="3"/>
  </w:num>
  <w:num w:numId="28">
    <w:abstractNumId w:val="32"/>
  </w:num>
  <w:num w:numId="29">
    <w:abstractNumId w:val="38"/>
  </w:num>
  <w:num w:numId="30">
    <w:abstractNumId w:val="24"/>
  </w:num>
  <w:num w:numId="31">
    <w:abstractNumId w:val="35"/>
  </w:num>
  <w:num w:numId="32">
    <w:abstractNumId w:val="4"/>
  </w:num>
  <w:num w:numId="33">
    <w:abstractNumId w:val="19"/>
  </w:num>
  <w:num w:numId="34">
    <w:abstractNumId w:val="25"/>
  </w:num>
  <w:num w:numId="35">
    <w:abstractNumId w:val="39"/>
  </w:num>
  <w:num w:numId="36">
    <w:abstractNumId w:val="30"/>
  </w:num>
  <w:num w:numId="37">
    <w:abstractNumId w:val="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8"/>
  </w:num>
  <w:num w:numId="41">
    <w:abstractNumId w:val="20"/>
  </w:num>
  <w:num w:numId="42">
    <w:abstractNumId w:val="33"/>
  </w:num>
  <w:num w:numId="43">
    <w:abstractNumId w:val="2"/>
  </w:num>
  <w:num w:numId="44">
    <w:abstractNumId w:val="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AF"/>
    <w:rsid w:val="000026FD"/>
    <w:rsid w:val="00003EF6"/>
    <w:rsid w:val="00005008"/>
    <w:rsid w:val="00006A43"/>
    <w:rsid w:val="00012F79"/>
    <w:rsid w:val="000159C7"/>
    <w:rsid w:val="00016D81"/>
    <w:rsid w:val="00021336"/>
    <w:rsid w:val="000216C0"/>
    <w:rsid w:val="00022885"/>
    <w:rsid w:val="00024130"/>
    <w:rsid w:val="00032071"/>
    <w:rsid w:val="00032341"/>
    <w:rsid w:val="00033AA6"/>
    <w:rsid w:val="0004482F"/>
    <w:rsid w:val="00047FDD"/>
    <w:rsid w:val="0005165A"/>
    <w:rsid w:val="00052BB4"/>
    <w:rsid w:val="00052EAB"/>
    <w:rsid w:val="00055DD6"/>
    <w:rsid w:val="00057086"/>
    <w:rsid w:val="00067AFB"/>
    <w:rsid w:val="0007638E"/>
    <w:rsid w:val="00081B18"/>
    <w:rsid w:val="00083132"/>
    <w:rsid w:val="0008365D"/>
    <w:rsid w:val="0008658E"/>
    <w:rsid w:val="0009223B"/>
    <w:rsid w:val="000967C0"/>
    <w:rsid w:val="000A154B"/>
    <w:rsid w:val="000B15A6"/>
    <w:rsid w:val="000B34AE"/>
    <w:rsid w:val="000C4620"/>
    <w:rsid w:val="000D6AB1"/>
    <w:rsid w:val="000E6E6D"/>
    <w:rsid w:val="000F0043"/>
    <w:rsid w:val="000F5D40"/>
    <w:rsid w:val="00106598"/>
    <w:rsid w:val="001117C5"/>
    <w:rsid w:val="001124B6"/>
    <w:rsid w:val="00115A5F"/>
    <w:rsid w:val="00115AF0"/>
    <w:rsid w:val="0011742D"/>
    <w:rsid w:val="0012019E"/>
    <w:rsid w:val="00122C9C"/>
    <w:rsid w:val="00127115"/>
    <w:rsid w:val="00131CE0"/>
    <w:rsid w:val="00133FC3"/>
    <w:rsid w:val="00136E43"/>
    <w:rsid w:val="0014239C"/>
    <w:rsid w:val="00162475"/>
    <w:rsid w:val="001673BE"/>
    <w:rsid w:val="00172581"/>
    <w:rsid w:val="00177741"/>
    <w:rsid w:val="00177BF0"/>
    <w:rsid w:val="00186D83"/>
    <w:rsid w:val="0018724E"/>
    <w:rsid w:val="00191B0C"/>
    <w:rsid w:val="001936FD"/>
    <w:rsid w:val="001945AA"/>
    <w:rsid w:val="00196718"/>
    <w:rsid w:val="001A012C"/>
    <w:rsid w:val="001A465E"/>
    <w:rsid w:val="001A48D3"/>
    <w:rsid w:val="001A687A"/>
    <w:rsid w:val="001A75D2"/>
    <w:rsid w:val="001C3696"/>
    <w:rsid w:val="001D1FD9"/>
    <w:rsid w:val="001D57D5"/>
    <w:rsid w:val="001E124E"/>
    <w:rsid w:val="001E60D7"/>
    <w:rsid w:val="001F2573"/>
    <w:rsid w:val="001F2FF4"/>
    <w:rsid w:val="001F5943"/>
    <w:rsid w:val="00207DE6"/>
    <w:rsid w:val="002111E6"/>
    <w:rsid w:val="00223447"/>
    <w:rsid w:val="00223528"/>
    <w:rsid w:val="00226636"/>
    <w:rsid w:val="00232458"/>
    <w:rsid w:val="00236689"/>
    <w:rsid w:val="00240095"/>
    <w:rsid w:val="0024099D"/>
    <w:rsid w:val="00247278"/>
    <w:rsid w:val="00250AD1"/>
    <w:rsid w:val="00256A7A"/>
    <w:rsid w:val="0026127C"/>
    <w:rsid w:val="00267B2E"/>
    <w:rsid w:val="002718D7"/>
    <w:rsid w:val="00271BAB"/>
    <w:rsid w:val="00273A76"/>
    <w:rsid w:val="00284AFB"/>
    <w:rsid w:val="00287201"/>
    <w:rsid w:val="00291294"/>
    <w:rsid w:val="0029263E"/>
    <w:rsid w:val="00292BEE"/>
    <w:rsid w:val="002A00A0"/>
    <w:rsid w:val="002A6D69"/>
    <w:rsid w:val="002A7FFD"/>
    <w:rsid w:val="002B03A8"/>
    <w:rsid w:val="002B03C5"/>
    <w:rsid w:val="002B07AA"/>
    <w:rsid w:val="002B23AE"/>
    <w:rsid w:val="002B3960"/>
    <w:rsid w:val="002B5CDB"/>
    <w:rsid w:val="002B626D"/>
    <w:rsid w:val="002B6675"/>
    <w:rsid w:val="002C15C2"/>
    <w:rsid w:val="002D3DF8"/>
    <w:rsid w:val="002E1373"/>
    <w:rsid w:val="002F35F7"/>
    <w:rsid w:val="002F590C"/>
    <w:rsid w:val="002F6806"/>
    <w:rsid w:val="0031025A"/>
    <w:rsid w:val="00312070"/>
    <w:rsid w:val="00312BA6"/>
    <w:rsid w:val="003216AC"/>
    <w:rsid w:val="003345AD"/>
    <w:rsid w:val="0034167D"/>
    <w:rsid w:val="00342F30"/>
    <w:rsid w:val="00343D76"/>
    <w:rsid w:val="0035258C"/>
    <w:rsid w:val="003539EE"/>
    <w:rsid w:val="00356136"/>
    <w:rsid w:val="003565FC"/>
    <w:rsid w:val="00361EFC"/>
    <w:rsid w:val="003666D9"/>
    <w:rsid w:val="003672B7"/>
    <w:rsid w:val="003674F4"/>
    <w:rsid w:val="0037559D"/>
    <w:rsid w:val="00375BED"/>
    <w:rsid w:val="003773C9"/>
    <w:rsid w:val="00383DE5"/>
    <w:rsid w:val="0038644B"/>
    <w:rsid w:val="00387BC4"/>
    <w:rsid w:val="00390E01"/>
    <w:rsid w:val="003B1AE2"/>
    <w:rsid w:val="003B1F57"/>
    <w:rsid w:val="003B56F9"/>
    <w:rsid w:val="003B619C"/>
    <w:rsid w:val="003B71B0"/>
    <w:rsid w:val="003B788E"/>
    <w:rsid w:val="003C1E59"/>
    <w:rsid w:val="003C5F81"/>
    <w:rsid w:val="003D5A0B"/>
    <w:rsid w:val="003E0133"/>
    <w:rsid w:val="003E69D0"/>
    <w:rsid w:val="003E7B53"/>
    <w:rsid w:val="003F47BC"/>
    <w:rsid w:val="003F59B2"/>
    <w:rsid w:val="00401D05"/>
    <w:rsid w:val="00403AA3"/>
    <w:rsid w:val="004054EC"/>
    <w:rsid w:val="00413212"/>
    <w:rsid w:val="00413689"/>
    <w:rsid w:val="004155FD"/>
    <w:rsid w:val="00437E69"/>
    <w:rsid w:val="00440D8D"/>
    <w:rsid w:val="0044119D"/>
    <w:rsid w:val="00441EF3"/>
    <w:rsid w:val="00444C99"/>
    <w:rsid w:val="004601B1"/>
    <w:rsid w:val="00462430"/>
    <w:rsid w:val="004671F8"/>
    <w:rsid w:val="00474D80"/>
    <w:rsid w:val="00482CC5"/>
    <w:rsid w:val="00483067"/>
    <w:rsid w:val="00487F4D"/>
    <w:rsid w:val="00493175"/>
    <w:rsid w:val="004A14CB"/>
    <w:rsid w:val="004A7E6F"/>
    <w:rsid w:val="004B4AE4"/>
    <w:rsid w:val="004C1260"/>
    <w:rsid w:val="004C4B31"/>
    <w:rsid w:val="004C6022"/>
    <w:rsid w:val="004C67AB"/>
    <w:rsid w:val="004D015E"/>
    <w:rsid w:val="004D1F9C"/>
    <w:rsid w:val="004D3909"/>
    <w:rsid w:val="004E1DB7"/>
    <w:rsid w:val="004F15D3"/>
    <w:rsid w:val="004F2D0C"/>
    <w:rsid w:val="004F5EB9"/>
    <w:rsid w:val="00503DF8"/>
    <w:rsid w:val="00513181"/>
    <w:rsid w:val="00513F42"/>
    <w:rsid w:val="005157BA"/>
    <w:rsid w:val="00521329"/>
    <w:rsid w:val="00521C47"/>
    <w:rsid w:val="00523BE9"/>
    <w:rsid w:val="00524104"/>
    <w:rsid w:val="00527283"/>
    <w:rsid w:val="0054110D"/>
    <w:rsid w:val="0054493A"/>
    <w:rsid w:val="00545DA2"/>
    <w:rsid w:val="00550F2B"/>
    <w:rsid w:val="00553333"/>
    <w:rsid w:val="00554390"/>
    <w:rsid w:val="005561B8"/>
    <w:rsid w:val="005610D9"/>
    <w:rsid w:val="0056218E"/>
    <w:rsid w:val="00562221"/>
    <w:rsid w:val="0057229F"/>
    <w:rsid w:val="00575676"/>
    <w:rsid w:val="00577845"/>
    <w:rsid w:val="00580F10"/>
    <w:rsid w:val="005874B9"/>
    <w:rsid w:val="00590A32"/>
    <w:rsid w:val="005968EA"/>
    <w:rsid w:val="00597602"/>
    <w:rsid w:val="005A0E94"/>
    <w:rsid w:val="005A2E38"/>
    <w:rsid w:val="005A53A4"/>
    <w:rsid w:val="005B3BDF"/>
    <w:rsid w:val="005B5E49"/>
    <w:rsid w:val="005C016B"/>
    <w:rsid w:val="005C7DBF"/>
    <w:rsid w:val="005D075D"/>
    <w:rsid w:val="005D0DEF"/>
    <w:rsid w:val="005D13B9"/>
    <w:rsid w:val="005D14D2"/>
    <w:rsid w:val="005D16AF"/>
    <w:rsid w:val="005D4713"/>
    <w:rsid w:val="005D5641"/>
    <w:rsid w:val="005E0238"/>
    <w:rsid w:val="005E2DFD"/>
    <w:rsid w:val="005F2729"/>
    <w:rsid w:val="005F281D"/>
    <w:rsid w:val="00601371"/>
    <w:rsid w:val="00601B67"/>
    <w:rsid w:val="00610C9E"/>
    <w:rsid w:val="00612045"/>
    <w:rsid w:val="00612DFE"/>
    <w:rsid w:val="00615CEF"/>
    <w:rsid w:val="00622037"/>
    <w:rsid w:val="006246D3"/>
    <w:rsid w:val="00626633"/>
    <w:rsid w:val="00630EB9"/>
    <w:rsid w:val="00632167"/>
    <w:rsid w:val="0064164B"/>
    <w:rsid w:val="00642627"/>
    <w:rsid w:val="00644874"/>
    <w:rsid w:val="0064655C"/>
    <w:rsid w:val="006475B7"/>
    <w:rsid w:val="00651470"/>
    <w:rsid w:val="00661554"/>
    <w:rsid w:val="006626A8"/>
    <w:rsid w:val="0067206C"/>
    <w:rsid w:val="00673AF1"/>
    <w:rsid w:val="00676FD9"/>
    <w:rsid w:val="00693A90"/>
    <w:rsid w:val="006A201A"/>
    <w:rsid w:val="006B77A2"/>
    <w:rsid w:val="006D0F9D"/>
    <w:rsid w:val="006D1F9C"/>
    <w:rsid w:val="006D2F46"/>
    <w:rsid w:val="006D4D40"/>
    <w:rsid w:val="006D5253"/>
    <w:rsid w:val="006D6A8C"/>
    <w:rsid w:val="006E04B2"/>
    <w:rsid w:val="006E1D72"/>
    <w:rsid w:val="006E55EC"/>
    <w:rsid w:val="006E73BC"/>
    <w:rsid w:val="006F1F14"/>
    <w:rsid w:val="006F2D7D"/>
    <w:rsid w:val="006F3687"/>
    <w:rsid w:val="006F559F"/>
    <w:rsid w:val="00712E46"/>
    <w:rsid w:val="007228B6"/>
    <w:rsid w:val="007228C8"/>
    <w:rsid w:val="00722BF5"/>
    <w:rsid w:val="00723D43"/>
    <w:rsid w:val="00724551"/>
    <w:rsid w:val="0072661B"/>
    <w:rsid w:val="00731763"/>
    <w:rsid w:val="00731FD3"/>
    <w:rsid w:val="007323E1"/>
    <w:rsid w:val="00734683"/>
    <w:rsid w:val="0073768B"/>
    <w:rsid w:val="00740DFE"/>
    <w:rsid w:val="007429C7"/>
    <w:rsid w:val="0074624C"/>
    <w:rsid w:val="00755C70"/>
    <w:rsid w:val="00756D0E"/>
    <w:rsid w:val="00761361"/>
    <w:rsid w:val="0077060F"/>
    <w:rsid w:val="00775188"/>
    <w:rsid w:val="00777F58"/>
    <w:rsid w:val="007835B6"/>
    <w:rsid w:val="007836E5"/>
    <w:rsid w:val="00784368"/>
    <w:rsid w:val="00784DCE"/>
    <w:rsid w:val="00784E33"/>
    <w:rsid w:val="007A0C4A"/>
    <w:rsid w:val="007A4B00"/>
    <w:rsid w:val="007A50AD"/>
    <w:rsid w:val="007A61A2"/>
    <w:rsid w:val="007B0979"/>
    <w:rsid w:val="007B1BCD"/>
    <w:rsid w:val="007B7532"/>
    <w:rsid w:val="007C17A1"/>
    <w:rsid w:val="007C338F"/>
    <w:rsid w:val="007D0723"/>
    <w:rsid w:val="007D0B92"/>
    <w:rsid w:val="007D2874"/>
    <w:rsid w:val="007D2F7E"/>
    <w:rsid w:val="007D7203"/>
    <w:rsid w:val="007E2C19"/>
    <w:rsid w:val="007E4C84"/>
    <w:rsid w:val="007E5A52"/>
    <w:rsid w:val="007F4308"/>
    <w:rsid w:val="007F5E4D"/>
    <w:rsid w:val="0080151A"/>
    <w:rsid w:val="00814F9B"/>
    <w:rsid w:val="00817924"/>
    <w:rsid w:val="00821A26"/>
    <w:rsid w:val="008253D9"/>
    <w:rsid w:val="008275B7"/>
    <w:rsid w:val="00831151"/>
    <w:rsid w:val="0083356C"/>
    <w:rsid w:val="008435E3"/>
    <w:rsid w:val="0086405D"/>
    <w:rsid w:val="00867A40"/>
    <w:rsid w:val="008704A7"/>
    <w:rsid w:val="00874C7A"/>
    <w:rsid w:val="008773AB"/>
    <w:rsid w:val="008807C1"/>
    <w:rsid w:val="00891133"/>
    <w:rsid w:val="00891209"/>
    <w:rsid w:val="00892B38"/>
    <w:rsid w:val="008947F8"/>
    <w:rsid w:val="00895546"/>
    <w:rsid w:val="00895BBF"/>
    <w:rsid w:val="008975F1"/>
    <w:rsid w:val="008A5BC9"/>
    <w:rsid w:val="008B4AC8"/>
    <w:rsid w:val="008B57DD"/>
    <w:rsid w:val="008B6D5E"/>
    <w:rsid w:val="008C09AA"/>
    <w:rsid w:val="008C1989"/>
    <w:rsid w:val="008C1E7E"/>
    <w:rsid w:val="008D1751"/>
    <w:rsid w:val="008D18F7"/>
    <w:rsid w:val="008E1285"/>
    <w:rsid w:val="008E1AE7"/>
    <w:rsid w:val="008E2542"/>
    <w:rsid w:val="008F1716"/>
    <w:rsid w:val="008F1D78"/>
    <w:rsid w:val="008F6061"/>
    <w:rsid w:val="008F6A21"/>
    <w:rsid w:val="00917B44"/>
    <w:rsid w:val="00926E83"/>
    <w:rsid w:val="009408FD"/>
    <w:rsid w:val="009424F3"/>
    <w:rsid w:val="009428B8"/>
    <w:rsid w:val="00944312"/>
    <w:rsid w:val="00966BC4"/>
    <w:rsid w:val="0096715D"/>
    <w:rsid w:val="0098340A"/>
    <w:rsid w:val="00983F46"/>
    <w:rsid w:val="00992A1A"/>
    <w:rsid w:val="00993B79"/>
    <w:rsid w:val="009A7D4B"/>
    <w:rsid w:val="009B0B1E"/>
    <w:rsid w:val="009B42B3"/>
    <w:rsid w:val="009C2911"/>
    <w:rsid w:val="009C5D2B"/>
    <w:rsid w:val="009D17A1"/>
    <w:rsid w:val="009D49BB"/>
    <w:rsid w:val="009D4C45"/>
    <w:rsid w:val="009E428B"/>
    <w:rsid w:val="009E740B"/>
    <w:rsid w:val="009F0828"/>
    <w:rsid w:val="009F134A"/>
    <w:rsid w:val="009F13AB"/>
    <w:rsid w:val="009F4E72"/>
    <w:rsid w:val="009F673F"/>
    <w:rsid w:val="009F7363"/>
    <w:rsid w:val="00A024B4"/>
    <w:rsid w:val="00A13347"/>
    <w:rsid w:val="00A209DB"/>
    <w:rsid w:val="00A26281"/>
    <w:rsid w:val="00A31007"/>
    <w:rsid w:val="00A34A93"/>
    <w:rsid w:val="00A35AB5"/>
    <w:rsid w:val="00A4727E"/>
    <w:rsid w:val="00A515A0"/>
    <w:rsid w:val="00A540A2"/>
    <w:rsid w:val="00A56FD6"/>
    <w:rsid w:val="00A644D4"/>
    <w:rsid w:val="00A648D9"/>
    <w:rsid w:val="00A70310"/>
    <w:rsid w:val="00A72F4B"/>
    <w:rsid w:val="00A84D21"/>
    <w:rsid w:val="00A867E8"/>
    <w:rsid w:val="00A8701F"/>
    <w:rsid w:val="00A9469C"/>
    <w:rsid w:val="00AB310B"/>
    <w:rsid w:val="00AB7E08"/>
    <w:rsid w:val="00AC1A81"/>
    <w:rsid w:val="00AC624D"/>
    <w:rsid w:val="00AD374A"/>
    <w:rsid w:val="00AD468B"/>
    <w:rsid w:val="00AD630F"/>
    <w:rsid w:val="00AE291D"/>
    <w:rsid w:val="00AE5AE2"/>
    <w:rsid w:val="00AE65F8"/>
    <w:rsid w:val="00AE6E49"/>
    <w:rsid w:val="00AF1704"/>
    <w:rsid w:val="00AF18F5"/>
    <w:rsid w:val="00AF2E61"/>
    <w:rsid w:val="00B21018"/>
    <w:rsid w:val="00B2159F"/>
    <w:rsid w:val="00B26AC5"/>
    <w:rsid w:val="00B27A25"/>
    <w:rsid w:val="00B31EB4"/>
    <w:rsid w:val="00B33C30"/>
    <w:rsid w:val="00B418A6"/>
    <w:rsid w:val="00B45905"/>
    <w:rsid w:val="00B5112B"/>
    <w:rsid w:val="00B5508F"/>
    <w:rsid w:val="00B57CAB"/>
    <w:rsid w:val="00B630BF"/>
    <w:rsid w:val="00B74EDB"/>
    <w:rsid w:val="00B76DEB"/>
    <w:rsid w:val="00B80E2C"/>
    <w:rsid w:val="00B83149"/>
    <w:rsid w:val="00B83770"/>
    <w:rsid w:val="00B964BA"/>
    <w:rsid w:val="00B96718"/>
    <w:rsid w:val="00BA2198"/>
    <w:rsid w:val="00BA2682"/>
    <w:rsid w:val="00BA29D4"/>
    <w:rsid w:val="00BA4EB8"/>
    <w:rsid w:val="00BC65DF"/>
    <w:rsid w:val="00BC67DA"/>
    <w:rsid w:val="00BC73BE"/>
    <w:rsid w:val="00BE18A2"/>
    <w:rsid w:val="00BE20AE"/>
    <w:rsid w:val="00BE5E76"/>
    <w:rsid w:val="00BE6B0D"/>
    <w:rsid w:val="00BF2E18"/>
    <w:rsid w:val="00BF577F"/>
    <w:rsid w:val="00C02EDD"/>
    <w:rsid w:val="00C06334"/>
    <w:rsid w:val="00C12603"/>
    <w:rsid w:val="00C134C8"/>
    <w:rsid w:val="00C24B95"/>
    <w:rsid w:val="00C31E4E"/>
    <w:rsid w:val="00C31EED"/>
    <w:rsid w:val="00C32FA1"/>
    <w:rsid w:val="00C34528"/>
    <w:rsid w:val="00C3711A"/>
    <w:rsid w:val="00C37511"/>
    <w:rsid w:val="00C4002E"/>
    <w:rsid w:val="00C4779D"/>
    <w:rsid w:val="00C47AC6"/>
    <w:rsid w:val="00C53248"/>
    <w:rsid w:val="00C55E44"/>
    <w:rsid w:val="00C6393E"/>
    <w:rsid w:val="00C67DFE"/>
    <w:rsid w:val="00C70441"/>
    <w:rsid w:val="00C71825"/>
    <w:rsid w:val="00C732CC"/>
    <w:rsid w:val="00C7483A"/>
    <w:rsid w:val="00C756D2"/>
    <w:rsid w:val="00C878F1"/>
    <w:rsid w:val="00C91CC8"/>
    <w:rsid w:val="00CA754B"/>
    <w:rsid w:val="00CB1F2F"/>
    <w:rsid w:val="00CD1DBE"/>
    <w:rsid w:val="00CD5D7B"/>
    <w:rsid w:val="00CE3AA2"/>
    <w:rsid w:val="00CE4A78"/>
    <w:rsid w:val="00CF3E97"/>
    <w:rsid w:val="00CF425F"/>
    <w:rsid w:val="00D01228"/>
    <w:rsid w:val="00D01979"/>
    <w:rsid w:val="00D0760E"/>
    <w:rsid w:val="00D13675"/>
    <w:rsid w:val="00D1754D"/>
    <w:rsid w:val="00D33CA8"/>
    <w:rsid w:val="00D349F0"/>
    <w:rsid w:val="00D35114"/>
    <w:rsid w:val="00D35622"/>
    <w:rsid w:val="00D35C31"/>
    <w:rsid w:val="00D37EFD"/>
    <w:rsid w:val="00D42228"/>
    <w:rsid w:val="00D50489"/>
    <w:rsid w:val="00D520B3"/>
    <w:rsid w:val="00D54B3A"/>
    <w:rsid w:val="00D62F6C"/>
    <w:rsid w:val="00D73704"/>
    <w:rsid w:val="00D74F63"/>
    <w:rsid w:val="00D8400F"/>
    <w:rsid w:val="00D86906"/>
    <w:rsid w:val="00D86A15"/>
    <w:rsid w:val="00D87E41"/>
    <w:rsid w:val="00D920E6"/>
    <w:rsid w:val="00D93C59"/>
    <w:rsid w:val="00D942D8"/>
    <w:rsid w:val="00DB44F2"/>
    <w:rsid w:val="00DB48B0"/>
    <w:rsid w:val="00DB636D"/>
    <w:rsid w:val="00DC14F5"/>
    <w:rsid w:val="00DC7DD6"/>
    <w:rsid w:val="00DD217E"/>
    <w:rsid w:val="00DD4038"/>
    <w:rsid w:val="00DD55F9"/>
    <w:rsid w:val="00DE236D"/>
    <w:rsid w:val="00DE6FFF"/>
    <w:rsid w:val="00DE7CB8"/>
    <w:rsid w:val="00DF0548"/>
    <w:rsid w:val="00DF35CE"/>
    <w:rsid w:val="00DF3BC3"/>
    <w:rsid w:val="00DF73B7"/>
    <w:rsid w:val="00DF7B94"/>
    <w:rsid w:val="00E10496"/>
    <w:rsid w:val="00E13508"/>
    <w:rsid w:val="00E31D67"/>
    <w:rsid w:val="00E418B2"/>
    <w:rsid w:val="00E41E04"/>
    <w:rsid w:val="00E51271"/>
    <w:rsid w:val="00E54D88"/>
    <w:rsid w:val="00E61716"/>
    <w:rsid w:val="00E63EAA"/>
    <w:rsid w:val="00E72FF0"/>
    <w:rsid w:val="00E779AF"/>
    <w:rsid w:val="00E77D21"/>
    <w:rsid w:val="00E80D8D"/>
    <w:rsid w:val="00E81481"/>
    <w:rsid w:val="00E836D7"/>
    <w:rsid w:val="00E876D2"/>
    <w:rsid w:val="00E90DDB"/>
    <w:rsid w:val="00E912E7"/>
    <w:rsid w:val="00E93C34"/>
    <w:rsid w:val="00EA0421"/>
    <w:rsid w:val="00EB3ECF"/>
    <w:rsid w:val="00EB5E3A"/>
    <w:rsid w:val="00EB6DD4"/>
    <w:rsid w:val="00EC1D1C"/>
    <w:rsid w:val="00EC2DDE"/>
    <w:rsid w:val="00EE3D22"/>
    <w:rsid w:val="00EF0709"/>
    <w:rsid w:val="00EF0A03"/>
    <w:rsid w:val="00EF36E7"/>
    <w:rsid w:val="00F0136B"/>
    <w:rsid w:val="00F01487"/>
    <w:rsid w:val="00F040AC"/>
    <w:rsid w:val="00F10802"/>
    <w:rsid w:val="00F13EFF"/>
    <w:rsid w:val="00F14B9F"/>
    <w:rsid w:val="00F3189B"/>
    <w:rsid w:val="00F3297F"/>
    <w:rsid w:val="00F440AD"/>
    <w:rsid w:val="00F5507D"/>
    <w:rsid w:val="00F569C3"/>
    <w:rsid w:val="00F627DB"/>
    <w:rsid w:val="00F62954"/>
    <w:rsid w:val="00F63503"/>
    <w:rsid w:val="00F63825"/>
    <w:rsid w:val="00F71D9E"/>
    <w:rsid w:val="00F722C3"/>
    <w:rsid w:val="00F77BD6"/>
    <w:rsid w:val="00F8089C"/>
    <w:rsid w:val="00F850F4"/>
    <w:rsid w:val="00F8724C"/>
    <w:rsid w:val="00F93228"/>
    <w:rsid w:val="00F94349"/>
    <w:rsid w:val="00FA0457"/>
    <w:rsid w:val="00FA2DEC"/>
    <w:rsid w:val="00FA324B"/>
    <w:rsid w:val="00FA5B33"/>
    <w:rsid w:val="00FB19F4"/>
    <w:rsid w:val="00FB2CED"/>
    <w:rsid w:val="00FC5D83"/>
    <w:rsid w:val="00FC6BEB"/>
    <w:rsid w:val="00FD2F81"/>
    <w:rsid w:val="00FD3D44"/>
    <w:rsid w:val="00FD5DA8"/>
    <w:rsid w:val="00FE079A"/>
    <w:rsid w:val="00FE75CE"/>
    <w:rsid w:val="00FE7EEA"/>
    <w:rsid w:val="00FF045A"/>
    <w:rsid w:val="00FF1F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2389688-E1B6-465C-BC02-117EBDE0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8" w:line="249" w:lineRule="auto"/>
      <w:ind w:left="10"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pBdr>
        <w:top w:val="single" w:sz="4" w:space="0" w:color="000000"/>
        <w:left w:val="single" w:sz="3" w:space="0" w:color="000000"/>
        <w:bottom w:val="single" w:sz="4" w:space="0" w:color="000000"/>
        <w:right w:val="single" w:sz="3" w:space="0" w:color="000000"/>
      </w:pBdr>
      <w:spacing w:after="0"/>
      <w:ind w:right="55"/>
      <w:jc w:val="center"/>
      <w:outlineLvl w:val="0"/>
    </w:pPr>
    <w:rPr>
      <w:rFonts w:ascii="Times New Roman" w:eastAsia="Times New Roman" w:hAnsi="Times New Roman" w:cs="Times New Roman"/>
      <w:b/>
      <w:color w:val="000000"/>
      <w:sz w:val="30"/>
    </w:rPr>
  </w:style>
  <w:style w:type="paragraph" w:styleId="Heading2">
    <w:name w:val="heading 2"/>
    <w:next w:val="Normal"/>
    <w:link w:val="Heading2Char"/>
    <w:uiPriority w:val="9"/>
    <w:unhideWhenUsed/>
    <w:qFormat/>
    <w:pPr>
      <w:keepNext/>
      <w:keepLines/>
      <w:spacing w:after="202"/>
      <w:ind w:left="10" w:hanging="10"/>
      <w:outlineLvl w:val="1"/>
    </w:pPr>
    <w:rPr>
      <w:rFonts w:ascii="Times New Roman" w:eastAsia="Times New Roman" w:hAnsi="Times New Roman" w:cs="Times New Roman"/>
      <w:b/>
      <w:color w:val="000000"/>
      <w:sz w:val="23"/>
    </w:rPr>
  </w:style>
  <w:style w:type="paragraph" w:styleId="Heading3">
    <w:name w:val="heading 3"/>
    <w:basedOn w:val="Normal"/>
    <w:next w:val="Normal"/>
    <w:link w:val="Heading3Char"/>
    <w:uiPriority w:val="9"/>
    <w:unhideWhenUsed/>
    <w:qFormat/>
    <w:rsid w:val="00FB2C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54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30"/>
    </w:rPr>
  </w:style>
  <w:style w:type="paragraph" w:customStyle="1" w:styleId="footnotedescription">
    <w:name w:val="footnote description"/>
    <w:next w:val="Normal"/>
    <w:link w:val="footnotedescriptionChar"/>
    <w:hidden/>
    <w:pPr>
      <w:spacing w:after="0" w:line="287" w:lineRule="auto"/>
      <w:ind w:left="133" w:hanging="133"/>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FootnoteText">
    <w:name w:val="footnote text"/>
    <w:aliases w:val="single space,f"/>
    <w:basedOn w:val="Normal"/>
    <w:link w:val="FootnoteTextChar"/>
    <w:autoRedefine/>
    <w:uiPriority w:val="99"/>
    <w:qFormat/>
    <w:rsid w:val="00FA0457"/>
    <w:pPr>
      <w:suppressAutoHyphens/>
      <w:spacing w:after="120" w:line="264" w:lineRule="auto"/>
      <w:ind w:left="0" w:firstLine="0"/>
      <w:jc w:val="left"/>
    </w:pPr>
    <w:rPr>
      <w:rFonts w:asciiTheme="minorBidi" w:eastAsiaTheme="minorHAnsi" w:hAnsiTheme="minorBidi" w:cstheme="minorBidi"/>
      <w:i/>
      <w:iCs/>
      <w:color w:val="auto"/>
      <w:sz w:val="18"/>
      <w:szCs w:val="18"/>
      <w:lang w:val="en-US" w:eastAsia="en-US"/>
    </w:rPr>
  </w:style>
  <w:style w:type="character" w:customStyle="1" w:styleId="FootnoteTextChar">
    <w:name w:val="Footnote Text Char"/>
    <w:aliases w:val="single space Char,f Char"/>
    <w:basedOn w:val="DefaultParagraphFont"/>
    <w:link w:val="FootnoteText"/>
    <w:uiPriority w:val="99"/>
    <w:rsid w:val="00FA0457"/>
    <w:rPr>
      <w:rFonts w:asciiTheme="minorBidi" w:eastAsiaTheme="minorHAnsi" w:hAnsiTheme="minorBidi"/>
      <w:i/>
      <w:iCs/>
      <w:sz w:val="18"/>
      <w:szCs w:val="18"/>
      <w:lang w:val="en-US" w:eastAsia="en-US"/>
    </w:rPr>
  </w:style>
  <w:style w:type="paragraph" w:styleId="ListParagraph">
    <w:name w:val="List Paragraph"/>
    <w:basedOn w:val="Normal"/>
    <w:uiPriority w:val="34"/>
    <w:qFormat/>
    <w:rsid w:val="005A0E94"/>
    <w:pPr>
      <w:spacing w:before="120" w:after="120" w:line="264" w:lineRule="auto"/>
      <w:ind w:left="720" w:firstLine="0"/>
      <w:contextualSpacing/>
    </w:pPr>
    <w:rPr>
      <w:rFonts w:eastAsiaTheme="minorHAnsi"/>
      <w:color w:val="auto"/>
      <w:sz w:val="22"/>
      <w:lang w:val="en-US" w:eastAsia="en-US"/>
    </w:rPr>
  </w:style>
  <w:style w:type="character" w:styleId="Hyperlink">
    <w:name w:val="Hyperlink"/>
    <w:basedOn w:val="DefaultParagraphFont"/>
    <w:uiPriority w:val="99"/>
    <w:unhideWhenUsed/>
    <w:rsid w:val="005A0E94"/>
    <w:rPr>
      <w:color w:val="0563C1" w:themeColor="hyperlink"/>
      <w:u w:val="single"/>
    </w:rPr>
  </w:style>
  <w:style w:type="character" w:styleId="FootnoteReference">
    <w:name w:val="footnote reference"/>
    <w:aliases w:val="BVI fnr (文字) (文字) Char (文字) Char Char1 Char Char Char Char Char Char Char1 Char Char Char1 Char Char,BVI fnr (文字) (文字) Char (文字) Char Char1 Char Char Char Char Char Char Char1 Char Char Char Char Char Char1 Char Char Char,ftref"/>
    <w:basedOn w:val="DefaultParagraphFont"/>
    <w:uiPriority w:val="99"/>
    <w:unhideWhenUsed/>
    <w:rsid w:val="005A0E94"/>
    <w:rPr>
      <w:vertAlign w:val="superscript"/>
    </w:rPr>
  </w:style>
  <w:style w:type="character" w:customStyle="1" w:styleId="Heading3Char">
    <w:name w:val="Heading 3 Char"/>
    <w:basedOn w:val="DefaultParagraphFont"/>
    <w:link w:val="Heading3"/>
    <w:uiPriority w:val="9"/>
    <w:semiHidden/>
    <w:rsid w:val="00FB2CED"/>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FB2CED"/>
    <w:pPr>
      <w:spacing w:before="240" w:after="120" w:line="240" w:lineRule="auto"/>
      <w:ind w:left="0" w:firstLine="0"/>
    </w:pPr>
    <w:rPr>
      <w:rFonts w:eastAsiaTheme="minorHAnsi"/>
      <w:b/>
      <w:i/>
      <w:iCs/>
      <w:color w:val="323E4F" w:themeColor="text2" w:themeShade="BF"/>
      <w:sz w:val="24"/>
      <w:szCs w:val="24"/>
      <w:lang w:val="en-US" w:eastAsia="en-US"/>
    </w:rPr>
  </w:style>
  <w:style w:type="table" w:styleId="TableGrid">
    <w:name w:val="Table Grid"/>
    <w:basedOn w:val="TableNormal"/>
    <w:uiPriority w:val="39"/>
    <w:rsid w:val="00FB2CED"/>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E6F"/>
    <w:rPr>
      <w:sz w:val="18"/>
      <w:szCs w:val="18"/>
    </w:rPr>
  </w:style>
  <w:style w:type="paragraph" w:styleId="CommentText">
    <w:name w:val="annotation text"/>
    <w:basedOn w:val="Normal"/>
    <w:link w:val="CommentTextChar"/>
    <w:uiPriority w:val="99"/>
    <w:unhideWhenUsed/>
    <w:rsid w:val="00DF35CE"/>
    <w:pPr>
      <w:spacing w:line="240" w:lineRule="auto"/>
    </w:pPr>
    <w:rPr>
      <w:sz w:val="24"/>
      <w:szCs w:val="24"/>
    </w:rPr>
  </w:style>
  <w:style w:type="character" w:customStyle="1" w:styleId="CommentTextChar">
    <w:name w:val="Comment Text Char"/>
    <w:basedOn w:val="DefaultParagraphFont"/>
    <w:link w:val="CommentText"/>
    <w:uiPriority w:val="99"/>
    <w:rsid w:val="004A7E6F"/>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A7E6F"/>
    <w:rPr>
      <w:b/>
      <w:bCs/>
      <w:sz w:val="20"/>
      <w:szCs w:val="20"/>
    </w:rPr>
  </w:style>
  <w:style w:type="character" w:customStyle="1" w:styleId="CommentSubjectChar">
    <w:name w:val="Comment Subject Char"/>
    <w:basedOn w:val="CommentTextChar"/>
    <w:link w:val="CommentSubject"/>
    <w:uiPriority w:val="99"/>
    <w:semiHidden/>
    <w:rsid w:val="004A7E6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A7E6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A7E6F"/>
    <w:rPr>
      <w:rFonts w:ascii="Times New Roman" w:eastAsia="Times New Roman" w:hAnsi="Times New Roman" w:cs="Times New Roman"/>
      <w:color w:val="000000"/>
      <w:sz w:val="18"/>
      <w:szCs w:val="18"/>
    </w:rPr>
  </w:style>
  <w:style w:type="paragraph" w:styleId="Revision">
    <w:name w:val="Revision"/>
    <w:hidden/>
    <w:uiPriority w:val="99"/>
    <w:semiHidden/>
    <w:rsid w:val="00006A43"/>
    <w:pPr>
      <w:spacing w:after="0" w:line="240" w:lineRule="auto"/>
    </w:pPr>
    <w:rPr>
      <w:rFonts w:ascii="Times New Roman" w:eastAsia="Times New Roman" w:hAnsi="Times New Roman" w:cs="Times New Roman"/>
      <w:color w:val="000000"/>
      <w:sz w:val="23"/>
    </w:rPr>
  </w:style>
  <w:style w:type="paragraph" w:customStyle="1" w:styleId="BodyA">
    <w:name w:val="Body A"/>
    <w:rsid w:val="0008658E"/>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zh-CN"/>
    </w:rPr>
  </w:style>
  <w:style w:type="character" w:customStyle="1" w:styleId="Heading4Char">
    <w:name w:val="Heading 4 Char"/>
    <w:basedOn w:val="DefaultParagraphFont"/>
    <w:link w:val="Heading4"/>
    <w:uiPriority w:val="9"/>
    <w:rsid w:val="004054EC"/>
    <w:rPr>
      <w:rFonts w:asciiTheme="majorHAnsi" w:eastAsiaTheme="majorEastAsia" w:hAnsiTheme="majorHAnsi" w:cstheme="majorBidi"/>
      <w:i/>
      <w:iCs/>
      <w:color w:val="2E74B5" w:themeColor="accent1" w:themeShade="BF"/>
      <w:sz w:val="23"/>
    </w:rPr>
  </w:style>
  <w:style w:type="paragraph" w:styleId="Header">
    <w:name w:val="header"/>
    <w:basedOn w:val="Normal"/>
    <w:link w:val="HeaderChar"/>
    <w:uiPriority w:val="99"/>
    <w:unhideWhenUsed/>
    <w:rsid w:val="0001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9C7"/>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01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9C7"/>
    <w:rPr>
      <w:rFonts w:ascii="Times New Roman" w:eastAsia="Times New Roman" w:hAnsi="Times New Roman" w:cs="Times New Roman"/>
      <w:color w:val="000000"/>
      <w:sz w:val="23"/>
    </w:rPr>
  </w:style>
  <w:style w:type="paragraph" w:styleId="Index6">
    <w:name w:val="index 6"/>
    <w:basedOn w:val="Normal"/>
    <w:next w:val="Normal"/>
    <w:autoRedefine/>
    <w:uiPriority w:val="99"/>
    <w:unhideWhenUsed/>
    <w:rsid w:val="0029263E"/>
    <w:pPr>
      <w:spacing w:before="120" w:after="120" w:line="264" w:lineRule="auto"/>
      <w:ind w:left="1440" w:hanging="240"/>
    </w:pPr>
    <w:rPr>
      <w:rFonts w:eastAsiaTheme="minorHAnsi"/>
      <w:color w:val="auto"/>
      <w:sz w:val="18"/>
      <w:szCs w:val="18"/>
      <w:lang w:val="en-US" w:eastAsia="en-US"/>
    </w:rPr>
  </w:style>
  <w:style w:type="paragraph" w:styleId="NormalWeb">
    <w:name w:val="Normal (Web)"/>
    <w:basedOn w:val="Normal"/>
    <w:uiPriority w:val="99"/>
    <w:unhideWhenUsed/>
    <w:rsid w:val="005E2DFD"/>
    <w:pPr>
      <w:spacing w:before="100" w:beforeAutospacing="1" w:after="100" w:afterAutospacing="1" w:line="240" w:lineRule="auto"/>
      <w:ind w:left="0" w:firstLine="0"/>
      <w:jc w:val="left"/>
    </w:pPr>
    <w:rPr>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631">
      <w:bodyDiv w:val="1"/>
      <w:marLeft w:val="0"/>
      <w:marRight w:val="0"/>
      <w:marTop w:val="0"/>
      <w:marBottom w:val="0"/>
      <w:divBdr>
        <w:top w:val="none" w:sz="0" w:space="0" w:color="auto"/>
        <w:left w:val="none" w:sz="0" w:space="0" w:color="auto"/>
        <w:bottom w:val="none" w:sz="0" w:space="0" w:color="auto"/>
        <w:right w:val="none" w:sz="0" w:space="0" w:color="auto"/>
      </w:divBdr>
    </w:div>
    <w:div w:id="25715325">
      <w:bodyDiv w:val="1"/>
      <w:marLeft w:val="0"/>
      <w:marRight w:val="0"/>
      <w:marTop w:val="0"/>
      <w:marBottom w:val="0"/>
      <w:divBdr>
        <w:top w:val="none" w:sz="0" w:space="0" w:color="auto"/>
        <w:left w:val="none" w:sz="0" w:space="0" w:color="auto"/>
        <w:bottom w:val="none" w:sz="0" w:space="0" w:color="auto"/>
        <w:right w:val="none" w:sz="0" w:space="0" w:color="auto"/>
      </w:divBdr>
    </w:div>
    <w:div w:id="370301159">
      <w:bodyDiv w:val="1"/>
      <w:marLeft w:val="0"/>
      <w:marRight w:val="0"/>
      <w:marTop w:val="0"/>
      <w:marBottom w:val="0"/>
      <w:divBdr>
        <w:top w:val="none" w:sz="0" w:space="0" w:color="auto"/>
        <w:left w:val="none" w:sz="0" w:space="0" w:color="auto"/>
        <w:bottom w:val="none" w:sz="0" w:space="0" w:color="auto"/>
        <w:right w:val="none" w:sz="0" w:space="0" w:color="auto"/>
      </w:divBdr>
    </w:div>
    <w:div w:id="474416680">
      <w:bodyDiv w:val="1"/>
      <w:marLeft w:val="0"/>
      <w:marRight w:val="0"/>
      <w:marTop w:val="0"/>
      <w:marBottom w:val="0"/>
      <w:divBdr>
        <w:top w:val="none" w:sz="0" w:space="0" w:color="auto"/>
        <w:left w:val="none" w:sz="0" w:space="0" w:color="auto"/>
        <w:bottom w:val="none" w:sz="0" w:space="0" w:color="auto"/>
        <w:right w:val="none" w:sz="0" w:space="0" w:color="auto"/>
      </w:divBdr>
      <w:divsChild>
        <w:div w:id="370810529">
          <w:marLeft w:val="1296"/>
          <w:marRight w:val="0"/>
          <w:marTop w:val="60"/>
          <w:marBottom w:val="60"/>
          <w:divBdr>
            <w:top w:val="none" w:sz="0" w:space="0" w:color="auto"/>
            <w:left w:val="none" w:sz="0" w:space="0" w:color="auto"/>
            <w:bottom w:val="none" w:sz="0" w:space="0" w:color="auto"/>
            <w:right w:val="none" w:sz="0" w:space="0" w:color="auto"/>
          </w:divBdr>
        </w:div>
        <w:div w:id="167865789">
          <w:marLeft w:val="1296"/>
          <w:marRight w:val="0"/>
          <w:marTop w:val="60"/>
          <w:marBottom w:val="60"/>
          <w:divBdr>
            <w:top w:val="none" w:sz="0" w:space="0" w:color="auto"/>
            <w:left w:val="none" w:sz="0" w:space="0" w:color="auto"/>
            <w:bottom w:val="none" w:sz="0" w:space="0" w:color="auto"/>
            <w:right w:val="none" w:sz="0" w:space="0" w:color="auto"/>
          </w:divBdr>
        </w:div>
      </w:divsChild>
    </w:div>
    <w:div w:id="862668189">
      <w:bodyDiv w:val="1"/>
      <w:marLeft w:val="0"/>
      <w:marRight w:val="0"/>
      <w:marTop w:val="0"/>
      <w:marBottom w:val="0"/>
      <w:divBdr>
        <w:top w:val="none" w:sz="0" w:space="0" w:color="auto"/>
        <w:left w:val="none" w:sz="0" w:space="0" w:color="auto"/>
        <w:bottom w:val="none" w:sz="0" w:space="0" w:color="auto"/>
        <w:right w:val="none" w:sz="0" w:space="0" w:color="auto"/>
      </w:divBdr>
      <w:divsChild>
        <w:div w:id="869221208">
          <w:marLeft w:val="1296"/>
          <w:marRight w:val="0"/>
          <w:marTop w:val="0"/>
          <w:marBottom w:val="0"/>
          <w:divBdr>
            <w:top w:val="none" w:sz="0" w:space="0" w:color="auto"/>
            <w:left w:val="none" w:sz="0" w:space="0" w:color="auto"/>
            <w:bottom w:val="none" w:sz="0" w:space="0" w:color="auto"/>
            <w:right w:val="none" w:sz="0" w:space="0" w:color="auto"/>
          </w:divBdr>
        </w:div>
        <w:div w:id="1862234285">
          <w:marLeft w:val="1296"/>
          <w:marRight w:val="0"/>
          <w:marTop w:val="0"/>
          <w:marBottom w:val="0"/>
          <w:divBdr>
            <w:top w:val="none" w:sz="0" w:space="0" w:color="auto"/>
            <w:left w:val="none" w:sz="0" w:space="0" w:color="auto"/>
            <w:bottom w:val="none" w:sz="0" w:space="0" w:color="auto"/>
            <w:right w:val="none" w:sz="0" w:space="0" w:color="auto"/>
          </w:divBdr>
        </w:div>
      </w:divsChild>
    </w:div>
    <w:div w:id="1304432506">
      <w:bodyDiv w:val="1"/>
      <w:marLeft w:val="0"/>
      <w:marRight w:val="0"/>
      <w:marTop w:val="0"/>
      <w:marBottom w:val="0"/>
      <w:divBdr>
        <w:top w:val="none" w:sz="0" w:space="0" w:color="auto"/>
        <w:left w:val="none" w:sz="0" w:space="0" w:color="auto"/>
        <w:bottom w:val="none" w:sz="0" w:space="0" w:color="auto"/>
        <w:right w:val="none" w:sz="0" w:space="0" w:color="auto"/>
      </w:divBdr>
    </w:div>
    <w:div w:id="1426150646">
      <w:bodyDiv w:val="1"/>
      <w:marLeft w:val="0"/>
      <w:marRight w:val="0"/>
      <w:marTop w:val="0"/>
      <w:marBottom w:val="0"/>
      <w:divBdr>
        <w:top w:val="none" w:sz="0" w:space="0" w:color="auto"/>
        <w:left w:val="none" w:sz="0" w:space="0" w:color="auto"/>
        <w:bottom w:val="none" w:sz="0" w:space="0" w:color="auto"/>
        <w:right w:val="none" w:sz="0" w:space="0" w:color="auto"/>
      </w:divBdr>
    </w:div>
    <w:div w:id="1623614120">
      <w:bodyDiv w:val="1"/>
      <w:marLeft w:val="0"/>
      <w:marRight w:val="0"/>
      <w:marTop w:val="0"/>
      <w:marBottom w:val="0"/>
      <w:divBdr>
        <w:top w:val="none" w:sz="0" w:space="0" w:color="auto"/>
        <w:left w:val="none" w:sz="0" w:space="0" w:color="auto"/>
        <w:bottom w:val="none" w:sz="0" w:space="0" w:color="auto"/>
        <w:right w:val="none" w:sz="0" w:space="0" w:color="auto"/>
      </w:divBdr>
      <w:divsChild>
        <w:div w:id="1186287226">
          <w:marLeft w:val="1296"/>
          <w:marRight w:val="0"/>
          <w:marTop w:val="60"/>
          <w:marBottom w:val="60"/>
          <w:divBdr>
            <w:top w:val="none" w:sz="0" w:space="0" w:color="auto"/>
            <w:left w:val="none" w:sz="0" w:space="0" w:color="auto"/>
            <w:bottom w:val="none" w:sz="0" w:space="0" w:color="auto"/>
            <w:right w:val="none" w:sz="0" w:space="0" w:color="auto"/>
          </w:divBdr>
        </w:div>
        <w:div w:id="1137988006">
          <w:marLeft w:val="1296"/>
          <w:marRight w:val="0"/>
          <w:marTop w:val="60"/>
          <w:marBottom w:val="60"/>
          <w:divBdr>
            <w:top w:val="none" w:sz="0" w:space="0" w:color="auto"/>
            <w:left w:val="none" w:sz="0" w:space="0" w:color="auto"/>
            <w:bottom w:val="none" w:sz="0" w:space="0" w:color="auto"/>
            <w:right w:val="none" w:sz="0" w:space="0" w:color="auto"/>
          </w:divBdr>
        </w:div>
      </w:divsChild>
    </w:div>
    <w:div w:id="1779063984">
      <w:bodyDiv w:val="1"/>
      <w:marLeft w:val="0"/>
      <w:marRight w:val="0"/>
      <w:marTop w:val="0"/>
      <w:marBottom w:val="0"/>
      <w:divBdr>
        <w:top w:val="none" w:sz="0" w:space="0" w:color="auto"/>
        <w:left w:val="none" w:sz="0" w:space="0" w:color="auto"/>
        <w:bottom w:val="none" w:sz="0" w:space="0" w:color="auto"/>
        <w:right w:val="none" w:sz="0" w:space="0" w:color="auto"/>
      </w:divBdr>
    </w:div>
    <w:div w:id="1790858535">
      <w:bodyDiv w:val="1"/>
      <w:marLeft w:val="0"/>
      <w:marRight w:val="0"/>
      <w:marTop w:val="0"/>
      <w:marBottom w:val="0"/>
      <w:divBdr>
        <w:top w:val="none" w:sz="0" w:space="0" w:color="auto"/>
        <w:left w:val="none" w:sz="0" w:space="0" w:color="auto"/>
        <w:bottom w:val="none" w:sz="0" w:space="0" w:color="auto"/>
        <w:right w:val="none" w:sz="0" w:space="0" w:color="auto"/>
      </w:divBdr>
    </w:div>
    <w:div w:id="1835798928">
      <w:bodyDiv w:val="1"/>
      <w:marLeft w:val="0"/>
      <w:marRight w:val="0"/>
      <w:marTop w:val="0"/>
      <w:marBottom w:val="0"/>
      <w:divBdr>
        <w:top w:val="none" w:sz="0" w:space="0" w:color="auto"/>
        <w:left w:val="none" w:sz="0" w:space="0" w:color="auto"/>
        <w:bottom w:val="none" w:sz="0" w:space="0" w:color="auto"/>
        <w:right w:val="none" w:sz="0" w:space="0" w:color="auto"/>
      </w:divBdr>
    </w:div>
    <w:div w:id="1894192132">
      <w:bodyDiv w:val="1"/>
      <w:marLeft w:val="0"/>
      <w:marRight w:val="0"/>
      <w:marTop w:val="0"/>
      <w:marBottom w:val="0"/>
      <w:divBdr>
        <w:top w:val="none" w:sz="0" w:space="0" w:color="auto"/>
        <w:left w:val="none" w:sz="0" w:space="0" w:color="auto"/>
        <w:bottom w:val="none" w:sz="0" w:space="0" w:color="auto"/>
        <w:right w:val="none" w:sz="0" w:space="0" w:color="auto"/>
      </w:divBdr>
    </w:div>
    <w:div w:id="1975913561">
      <w:bodyDiv w:val="1"/>
      <w:marLeft w:val="0"/>
      <w:marRight w:val="0"/>
      <w:marTop w:val="0"/>
      <w:marBottom w:val="0"/>
      <w:divBdr>
        <w:top w:val="none" w:sz="0" w:space="0" w:color="auto"/>
        <w:left w:val="none" w:sz="0" w:space="0" w:color="auto"/>
        <w:bottom w:val="none" w:sz="0" w:space="0" w:color="auto"/>
        <w:right w:val="none" w:sz="0" w:space="0" w:color="auto"/>
      </w:divBdr>
      <w:divsChild>
        <w:div w:id="773666829">
          <w:marLeft w:val="0"/>
          <w:marRight w:val="0"/>
          <w:marTop w:val="0"/>
          <w:marBottom w:val="0"/>
          <w:divBdr>
            <w:top w:val="none" w:sz="0" w:space="0" w:color="auto"/>
            <w:left w:val="none" w:sz="0" w:space="0" w:color="auto"/>
            <w:bottom w:val="none" w:sz="0" w:space="0" w:color="auto"/>
            <w:right w:val="none" w:sz="0" w:space="0" w:color="auto"/>
          </w:divBdr>
        </w:div>
      </w:divsChild>
    </w:div>
    <w:div w:id="1991788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unocha.org/sites/dms/CAP/2014_SRP_guidance-27_Sep_201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1D2D-CC9B-40ED-A593-5FE5488B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Word - 18. Session Accountability to Affected Populations.doc</vt:lpstr>
    </vt:vector>
  </TitlesOfParts>
  <Company>City University</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 Session Accountability to Affected Populations.doc</dc:title>
  <dc:creator>martijn.dalhuijsen</dc:creator>
  <cp:lastModifiedBy>Franck Bouvet</cp:lastModifiedBy>
  <cp:revision>2</cp:revision>
  <cp:lastPrinted>2017-07-03T15:09:00Z</cp:lastPrinted>
  <dcterms:created xsi:type="dcterms:W3CDTF">2017-08-03T09:47:00Z</dcterms:created>
  <dcterms:modified xsi:type="dcterms:W3CDTF">2017-08-03T09:47:00Z</dcterms:modified>
</cp:coreProperties>
</file>