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23" w:rsidRDefault="00542623" w:rsidP="00DD7258">
      <w:pPr>
        <w:pStyle w:val="Paragraph"/>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rsidR="00BE63B1" w:rsidRPr="00726960" w:rsidRDefault="00A74521" w:rsidP="00DD7258">
      <w:pPr>
        <w:pStyle w:val="Paragraph"/>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IASC </w:t>
      </w:r>
      <w:r w:rsidR="00726960">
        <w:rPr>
          <w:rFonts w:ascii="Arial" w:hAnsi="Arial" w:cs="Arial"/>
          <w:b/>
          <w:sz w:val="20"/>
          <w:szCs w:val="20"/>
        </w:rPr>
        <w:t>Information N</w:t>
      </w:r>
      <w:r w:rsidR="00BE63B1" w:rsidRPr="00726960">
        <w:rPr>
          <w:rFonts w:ascii="Arial" w:hAnsi="Arial" w:cs="Arial"/>
          <w:b/>
          <w:sz w:val="20"/>
          <w:szCs w:val="20"/>
        </w:rPr>
        <w:t xml:space="preserve">ote to </w:t>
      </w:r>
      <w:r w:rsidR="00726960">
        <w:rPr>
          <w:rFonts w:ascii="Arial" w:hAnsi="Arial" w:cs="Arial"/>
          <w:b/>
          <w:sz w:val="20"/>
          <w:szCs w:val="20"/>
        </w:rPr>
        <w:t>HCs/HCTs Using A</w:t>
      </w:r>
      <w:r w:rsidR="006E4E79" w:rsidRPr="00726960">
        <w:rPr>
          <w:rFonts w:ascii="Arial" w:hAnsi="Arial" w:cs="Arial"/>
          <w:b/>
          <w:sz w:val="20"/>
          <w:szCs w:val="20"/>
        </w:rPr>
        <w:t>ctivity-</w:t>
      </w:r>
      <w:r w:rsidR="00BE63B1" w:rsidRPr="00726960">
        <w:rPr>
          <w:rFonts w:ascii="Arial" w:hAnsi="Arial" w:cs="Arial"/>
          <w:b/>
          <w:sz w:val="20"/>
          <w:szCs w:val="20"/>
        </w:rPr>
        <w:t xml:space="preserve">based </w:t>
      </w:r>
      <w:r w:rsidR="00726960">
        <w:rPr>
          <w:rFonts w:ascii="Arial" w:hAnsi="Arial" w:cs="Arial"/>
          <w:b/>
          <w:sz w:val="20"/>
          <w:szCs w:val="20"/>
        </w:rPr>
        <w:t>C</w:t>
      </w:r>
      <w:r w:rsidR="00BE63B1" w:rsidRPr="00726960">
        <w:rPr>
          <w:rFonts w:ascii="Arial" w:hAnsi="Arial" w:cs="Arial"/>
          <w:b/>
          <w:sz w:val="20"/>
          <w:szCs w:val="20"/>
        </w:rPr>
        <w:t>osting</w:t>
      </w:r>
    </w:p>
    <w:p w:rsidR="00BE63B1" w:rsidRDefault="0010034C" w:rsidP="00542623">
      <w:pPr>
        <w:pStyle w:val="Paragraph"/>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sz w:val="20"/>
          <w:szCs w:val="20"/>
        </w:rPr>
      </w:pPr>
      <w:r>
        <w:rPr>
          <w:rFonts w:ascii="Arial" w:hAnsi="Arial" w:cs="Arial"/>
          <w:b/>
          <w:sz w:val="20"/>
          <w:szCs w:val="20"/>
        </w:rPr>
        <w:t>Key F</w:t>
      </w:r>
      <w:r w:rsidR="00A74521">
        <w:rPr>
          <w:rFonts w:ascii="Arial" w:hAnsi="Arial" w:cs="Arial"/>
          <w:b/>
          <w:sz w:val="20"/>
          <w:szCs w:val="20"/>
        </w:rPr>
        <w:t xml:space="preserve">indings from </w:t>
      </w:r>
      <w:r w:rsidR="003962A3" w:rsidRPr="00726960">
        <w:rPr>
          <w:rFonts w:ascii="Arial" w:hAnsi="Arial" w:cs="Arial"/>
          <w:b/>
          <w:sz w:val="20"/>
          <w:szCs w:val="20"/>
        </w:rPr>
        <w:t>the</w:t>
      </w:r>
      <w:r w:rsidR="006E4E79" w:rsidRPr="00726960">
        <w:rPr>
          <w:rFonts w:ascii="Arial" w:hAnsi="Arial" w:cs="Arial"/>
          <w:b/>
          <w:sz w:val="20"/>
          <w:szCs w:val="20"/>
        </w:rPr>
        <w:t xml:space="preserve"> </w:t>
      </w:r>
      <w:r>
        <w:rPr>
          <w:rFonts w:ascii="Arial" w:hAnsi="Arial" w:cs="Arial"/>
          <w:b/>
          <w:sz w:val="20"/>
          <w:szCs w:val="20"/>
        </w:rPr>
        <w:t>A</w:t>
      </w:r>
      <w:r w:rsidR="006E4E79" w:rsidRPr="00726960">
        <w:rPr>
          <w:rFonts w:ascii="Arial" w:hAnsi="Arial" w:cs="Arial"/>
          <w:b/>
          <w:sz w:val="20"/>
          <w:szCs w:val="20"/>
        </w:rPr>
        <w:t>ctivity-</w:t>
      </w:r>
      <w:r>
        <w:rPr>
          <w:rFonts w:ascii="Arial" w:hAnsi="Arial" w:cs="Arial"/>
          <w:b/>
          <w:sz w:val="20"/>
          <w:szCs w:val="20"/>
        </w:rPr>
        <w:t>based C</w:t>
      </w:r>
      <w:r w:rsidR="00DD7258" w:rsidRPr="00726960">
        <w:rPr>
          <w:rFonts w:ascii="Arial" w:hAnsi="Arial" w:cs="Arial"/>
          <w:b/>
          <w:sz w:val="20"/>
          <w:szCs w:val="20"/>
        </w:rPr>
        <w:t xml:space="preserve">osting </w:t>
      </w:r>
      <w:r>
        <w:rPr>
          <w:rFonts w:ascii="Arial" w:hAnsi="Arial" w:cs="Arial"/>
          <w:b/>
          <w:sz w:val="20"/>
          <w:szCs w:val="20"/>
        </w:rPr>
        <w:t>Review</w:t>
      </w:r>
    </w:p>
    <w:p w:rsidR="00542623" w:rsidRPr="00726960" w:rsidRDefault="00542623" w:rsidP="00DD7258">
      <w:pPr>
        <w:pStyle w:val="Paragraph"/>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rsidR="00BE63B1" w:rsidRDefault="00BE63B1" w:rsidP="00BE63B1">
      <w:pPr>
        <w:pStyle w:val="Paragraph"/>
        <w:spacing w:after="0" w:line="240" w:lineRule="auto"/>
        <w:rPr>
          <w:rFonts w:ascii="Arial" w:hAnsi="Arial" w:cs="Arial"/>
          <w:sz w:val="20"/>
          <w:szCs w:val="20"/>
        </w:rPr>
      </w:pPr>
    </w:p>
    <w:p w:rsidR="00B47036" w:rsidRPr="00726960" w:rsidRDefault="00B47036" w:rsidP="00BE63B1">
      <w:pPr>
        <w:pStyle w:val="Paragraph"/>
        <w:spacing w:after="0" w:line="240" w:lineRule="auto"/>
        <w:rPr>
          <w:rFonts w:ascii="Arial" w:hAnsi="Arial" w:cs="Arial"/>
          <w:sz w:val="20"/>
          <w:szCs w:val="20"/>
        </w:rPr>
      </w:pPr>
    </w:p>
    <w:p w:rsidR="00C32D20" w:rsidRPr="00726960" w:rsidRDefault="00542623" w:rsidP="003E5187">
      <w:pPr>
        <w:pStyle w:val="Paragraph"/>
        <w:numPr>
          <w:ilvl w:val="0"/>
          <w:numId w:val="3"/>
        </w:numPr>
        <w:spacing w:after="0" w:line="240" w:lineRule="auto"/>
        <w:rPr>
          <w:rFonts w:ascii="Arial" w:hAnsi="Arial" w:cs="Arial"/>
          <w:sz w:val="20"/>
          <w:szCs w:val="20"/>
        </w:rPr>
      </w:pPr>
      <w:bookmarkStart w:id="0" w:name="_Toc388943130"/>
      <w:bookmarkStart w:id="1" w:name="_Toc390364489"/>
      <w:r>
        <w:rPr>
          <w:rFonts w:ascii="Arial" w:hAnsi="Arial" w:cs="Arial"/>
          <w:sz w:val="20"/>
          <w:szCs w:val="20"/>
        </w:rPr>
        <w:t>O</w:t>
      </w:r>
      <w:r w:rsidR="006B1E7B">
        <w:rPr>
          <w:rFonts w:ascii="Arial" w:hAnsi="Arial" w:cs="Arial"/>
          <w:sz w:val="20"/>
          <w:szCs w:val="20"/>
        </w:rPr>
        <w:t xml:space="preserve">n behalf of </w:t>
      </w:r>
      <w:r w:rsidR="00C32D20" w:rsidRPr="00726960">
        <w:rPr>
          <w:rFonts w:ascii="Arial" w:hAnsi="Arial" w:cs="Arial"/>
          <w:sz w:val="20"/>
          <w:szCs w:val="20"/>
        </w:rPr>
        <w:t>the IASC Humanitarian Programme Cycle Steering Group</w:t>
      </w:r>
      <w:r w:rsidR="006B1E7B">
        <w:rPr>
          <w:rFonts w:ascii="Arial" w:hAnsi="Arial" w:cs="Arial"/>
          <w:sz w:val="20"/>
          <w:szCs w:val="20"/>
        </w:rPr>
        <w:t>,</w:t>
      </w:r>
      <w:r w:rsidR="00C32D20" w:rsidRPr="00726960">
        <w:rPr>
          <w:rFonts w:ascii="Arial" w:hAnsi="Arial" w:cs="Arial"/>
          <w:sz w:val="20"/>
          <w:szCs w:val="20"/>
        </w:rPr>
        <w:t xml:space="preserve"> </w:t>
      </w:r>
      <w:r>
        <w:rPr>
          <w:rFonts w:ascii="Arial" w:hAnsi="Arial" w:cs="Arial"/>
          <w:sz w:val="20"/>
          <w:szCs w:val="20"/>
        </w:rPr>
        <w:t xml:space="preserve">OCHA </w:t>
      </w:r>
      <w:r w:rsidR="00C32D20" w:rsidRPr="00726960">
        <w:rPr>
          <w:rFonts w:ascii="Arial" w:hAnsi="Arial" w:cs="Arial"/>
          <w:sz w:val="20"/>
          <w:szCs w:val="20"/>
        </w:rPr>
        <w:t xml:space="preserve">commissioned a </w:t>
      </w:r>
      <w:r w:rsidR="006B1E7B">
        <w:rPr>
          <w:rFonts w:ascii="Arial" w:hAnsi="Arial" w:cs="Arial"/>
          <w:sz w:val="20"/>
          <w:szCs w:val="20"/>
        </w:rPr>
        <w:t>study</w:t>
      </w:r>
      <w:r w:rsidR="00C32D20" w:rsidRPr="00726960">
        <w:rPr>
          <w:rFonts w:ascii="Arial" w:hAnsi="Arial" w:cs="Arial"/>
          <w:sz w:val="20"/>
          <w:szCs w:val="20"/>
        </w:rPr>
        <w:t xml:space="preserve"> by an independent external team, composed of Abby Stoddard and Barnaby Willitts-King, to take stock of the application of activity-based costing for budgeting strategic response plans.  The report was completed in August 2014 and aims to inform IASC discussions without prescribing specific </w:t>
      </w:r>
      <w:r w:rsidR="00C32D20" w:rsidRPr="00726960">
        <w:rPr>
          <w:rFonts w:ascii="Arial" w:hAnsi="Arial" w:cs="Arial"/>
          <w:sz w:val="20"/>
          <w:szCs w:val="20"/>
        </w:rPr>
        <w:t>recommendations for action or institutional</w:t>
      </w:r>
      <w:r w:rsidR="00726960">
        <w:rPr>
          <w:rFonts w:ascii="Arial" w:hAnsi="Arial" w:cs="Arial"/>
          <w:sz w:val="20"/>
          <w:szCs w:val="20"/>
        </w:rPr>
        <w:t>/</w:t>
      </w:r>
      <w:r w:rsidR="00C32D20" w:rsidRPr="00726960">
        <w:rPr>
          <w:rFonts w:ascii="Arial" w:hAnsi="Arial" w:cs="Arial"/>
          <w:sz w:val="20"/>
          <w:szCs w:val="20"/>
        </w:rPr>
        <w:t>procedural changes. The desk review looked at activity-based costing in a sample of countries: Afghanistan, Central African Republic, DR Congo, Haiti, Yemen and Zimbabwe.  The occupied Palestinian territory and South Sudan were also included as two countries that considered applying this approach</w:t>
      </w:r>
      <w:r w:rsidR="00231EAE">
        <w:rPr>
          <w:rFonts w:ascii="Arial" w:hAnsi="Arial" w:cs="Arial"/>
          <w:sz w:val="20"/>
          <w:szCs w:val="20"/>
        </w:rPr>
        <w:t xml:space="preserve"> </w:t>
      </w:r>
      <w:r w:rsidR="00C32D20" w:rsidRPr="00726960">
        <w:rPr>
          <w:rFonts w:ascii="Arial" w:hAnsi="Arial" w:cs="Arial"/>
          <w:sz w:val="20"/>
          <w:szCs w:val="20"/>
        </w:rPr>
        <w:t>before resuming with coordinated project planning</w:t>
      </w:r>
      <w:r w:rsidR="00231EAE">
        <w:rPr>
          <w:rFonts w:ascii="Arial" w:hAnsi="Arial" w:cs="Arial"/>
          <w:sz w:val="20"/>
          <w:szCs w:val="20"/>
        </w:rPr>
        <w:t xml:space="preserve"> in 2014</w:t>
      </w:r>
      <w:r w:rsidR="00C32D20" w:rsidRPr="00726960">
        <w:rPr>
          <w:rFonts w:ascii="Arial" w:hAnsi="Arial" w:cs="Arial"/>
          <w:sz w:val="20"/>
          <w:szCs w:val="20"/>
        </w:rPr>
        <w:t xml:space="preserve">.  </w:t>
      </w:r>
      <w:r w:rsidR="00A74521">
        <w:rPr>
          <w:rFonts w:ascii="Arial" w:hAnsi="Arial" w:cs="Arial"/>
          <w:sz w:val="20"/>
          <w:szCs w:val="20"/>
        </w:rPr>
        <w:t xml:space="preserve">The complete report accompanies this note. </w:t>
      </w:r>
      <w:r w:rsidR="00C32D20" w:rsidRPr="00726960">
        <w:rPr>
          <w:rFonts w:ascii="Arial" w:hAnsi="Arial" w:cs="Arial"/>
          <w:sz w:val="20"/>
          <w:szCs w:val="20"/>
        </w:rPr>
        <w:t xml:space="preserve"> </w:t>
      </w:r>
    </w:p>
    <w:p w:rsidR="00C32D20" w:rsidRPr="00726960" w:rsidRDefault="00C32D20" w:rsidP="003E5187">
      <w:pPr>
        <w:pStyle w:val="Paragraph"/>
        <w:spacing w:after="0" w:line="240" w:lineRule="auto"/>
        <w:rPr>
          <w:rFonts w:ascii="Arial" w:hAnsi="Arial" w:cs="Arial"/>
          <w:sz w:val="20"/>
          <w:szCs w:val="20"/>
        </w:rPr>
      </w:pPr>
    </w:p>
    <w:p w:rsidR="00726960" w:rsidRDefault="00C32D20" w:rsidP="003E5187">
      <w:pPr>
        <w:pStyle w:val="Paragraph"/>
        <w:numPr>
          <w:ilvl w:val="0"/>
          <w:numId w:val="3"/>
        </w:numPr>
        <w:spacing w:after="0" w:line="240" w:lineRule="auto"/>
        <w:rPr>
          <w:rFonts w:ascii="Arial" w:hAnsi="Arial" w:cs="Arial"/>
          <w:sz w:val="20"/>
          <w:szCs w:val="20"/>
        </w:rPr>
      </w:pPr>
      <w:r w:rsidRPr="00196C80">
        <w:rPr>
          <w:rFonts w:ascii="Arial" w:hAnsi="Arial" w:cs="Arial"/>
          <w:sz w:val="20"/>
          <w:szCs w:val="20"/>
        </w:rPr>
        <w:t xml:space="preserve">The review team found that there is no single methodology or data source used by clusters undertaking activity-based costing, making objective comparison between the </w:t>
      </w:r>
      <w:r w:rsidR="00A74521">
        <w:rPr>
          <w:rFonts w:ascii="Arial" w:hAnsi="Arial" w:cs="Arial"/>
          <w:sz w:val="20"/>
          <w:szCs w:val="20"/>
        </w:rPr>
        <w:t>cases difficult. C</w:t>
      </w:r>
      <w:r w:rsidRPr="00196C80">
        <w:rPr>
          <w:rFonts w:ascii="Arial" w:hAnsi="Arial" w:cs="Arial"/>
          <w:sz w:val="20"/>
          <w:szCs w:val="20"/>
        </w:rPr>
        <w:t xml:space="preserve">ountry cluster coordinators independently developed a tailor-made approach for their cluster. As a result, what is called activity-based costing actually encompasses a number of different methods. In addition, the level of quality and rigor varied across cases and across clusters. With the exception of Afghanistan, </w:t>
      </w:r>
      <w:r w:rsidRPr="00196C80">
        <w:rPr>
          <w:rFonts w:ascii="Arial" w:hAnsi="Arial" w:cs="Arial"/>
          <w:b/>
          <w:i/>
          <w:sz w:val="20"/>
          <w:szCs w:val="20"/>
        </w:rPr>
        <w:t>most clusters in the country cases were not able to provide the review team with a written methodology or shareable set of formulas for how they derived their costing estimates</w:t>
      </w:r>
      <w:r w:rsidRPr="00196C80">
        <w:rPr>
          <w:rFonts w:ascii="Arial" w:hAnsi="Arial" w:cs="Arial"/>
          <w:sz w:val="20"/>
          <w:szCs w:val="20"/>
        </w:rPr>
        <w:t xml:space="preserve">.  </w:t>
      </w:r>
      <w:r w:rsidR="00196C80" w:rsidRPr="00196C80">
        <w:rPr>
          <w:rFonts w:ascii="Arial" w:hAnsi="Arial" w:cs="Arial"/>
          <w:sz w:val="20"/>
          <w:szCs w:val="20"/>
        </w:rPr>
        <w:t xml:space="preserve">Global clusters </w:t>
      </w:r>
      <w:r w:rsidR="00A74521">
        <w:rPr>
          <w:rFonts w:ascii="Arial" w:hAnsi="Arial" w:cs="Arial"/>
          <w:sz w:val="20"/>
          <w:szCs w:val="20"/>
        </w:rPr>
        <w:t xml:space="preserve">did not feel </w:t>
      </w:r>
      <w:r w:rsidR="00196C80" w:rsidRPr="00196C80">
        <w:rPr>
          <w:rFonts w:ascii="Arial" w:hAnsi="Arial" w:cs="Arial"/>
          <w:sz w:val="20"/>
          <w:szCs w:val="20"/>
        </w:rPr>
        <w:t xml:space="preserve">sufficiently included in the application of the approach at the field level, and some expressed concern that activity-based costing may not be a workable method for their cluster’s budgeting. </w:t>
      </w:r>
      <w:r w:rsidR="00726960" w:rsidRPr="00196C80">
        <w:rPr>
          <w:rFonts w:ascii="Arial" w:hAnsi="Arial" w:cs="Arial"/>
          <w:sz w:val="20"/>
          <w:szCs w:val="20"/>
        </w:rPr>
        <w:t xml:space="preserve">The review team identified several potential advantages and disadvantages to activity-based costing.  A summary is included in the graphic </w:t>
      </w:r>
      <w:r w:rsidR="00196C80" w:rsidRPr="00196C80">
        <w:rPr>
          <w:rFonts w:ascii="Arial" w:hAnsi="Arial" w:cs="Arial"/>
          <w:sz w:val="20"/>
          <w:szCs w:val="20"/>
        </w:rPr>
        <w:t>below</w:t>
      </w:r>
      <w:r w:rsidR="00726960" w:rsidRPr="00196C80">
        <w:rPr>
          <w:rFonts w:ascii="Arial" w:hAnsi="Arial" w:cs="Arial"/>
          <w:sz w:val="20"/>
          <w:szCs w:val="20"/>
        </w:rPr>
        <w:t xml:space="preserve">. </w:t>
      </w:r>
    </w:p>
    <w:p w:rsidR="00196C80" w:rsidRDefault="00196C80" w:rsidP="00C32D20">
      <w:pPr>
        <w:spacing w:after="0" w:line="240" w:lineRule="auto"/>
        <w:rPr>
          <w:rFonts w:ascii="Arial" w:eastAsia="Times New Roman" w:hAnsi="Arial" w:cs="Arial"/>
          <w:b/>
          <w:color w:val="222222"/>
          <w:sz w:val="20"/>
          <w:szCs w:val="20"/>
          <w:lang w:val="en-GB"/>
        </w:rPr>
      </w:pPr>
    </w:p>
    <w:p w:rsidR="00C32D20" w:rsidRPr="00726960" w:rsidRDefault="00C32D20" w:rsidP="00C32D20">
      <w:pPr>
        <w:spacing w:after="0" w:line="240" w:lineRule="auto"/>
        <w:rPr>
          <w:rFonts w:ascii="Arial" w:eastAsia="Times New Roman" w:hAnsi="Arial" w:cs="Arial"/>
          <w:b/>
          <w:color w:val="222222"/>
          <w:sz w:val="20"/>
          <w:szCs w:val="20"/>
          <w:lang w:val="en-GB"/>
        </w:rPr>
      </w:pPr>
      <w:r w:rsidRPr="00726960">
        <w:rPr>
          <w:rFonts w:ascii="Arial" w:eastAsia="Times New Roman" w:hAnsi="Arial" w:cs="Arial"/>
          <w:b/>
          <w:color w:val="222222"/>
          <w:sz w:val="20"/>
          <w:szCs w:val="20"/>
          <w:lang w:val="en-GB"/>
        </w:rPr>
        <w:t>Activity-based costing potential advantages and disadvantages</w:t>
      </w:r>
    </w:p>
    <w:p w:rsidR="00C32D20" w:rsidRPr="00726960" w:rsidRDefault="00C32D20" w:rsidP="00C32D20">
      <w:pPr>
        <w:spacing w:after="0" w:line="240" w:lineRule="auto"/>
        <w:rPr>
          <w:rFonts w:ascii="Arial" w:eastAsia="Times New Roman" w:hAnsi="Arial" w:cs="Arial"/>
          <w:color w:val="222222"/>
          <w:sz w:val="20"/>
          <w:szCs w:val="20"/>
          <w:lang w:val="en-GB"/>
        </w:rPr>
      </w:pPr>
      <w:r w:rsidRPr="00726960">
        <w:rPr>
          <w:rFonts w:ascii="Arial" w:eastAsia="Times New Roman" w:hAnsi="Arial" w:cs="Arial"/>
          <w:b/>
          <w:color w:val="222222"/>
          <w:sz w:val="20"/>
          <w:szCs w:val="20"/>
          <w:lang w:val="en-GB"/>
        </w:rPr>
        <w:t xml:space="preserve">* Potential advantages </w:t>
      </w:r>
      <w:r w:rsidRPr="00726960">
        <w:rPr>
          <w:rFonts w:ascii="Arial" w:eastAsia="Times New Roman" w:hAnsi="Arial" w:cs="Arial"/>
          <w:noProof/>
          <w:color w:val="222222"/>
          <w:sz w:val="20"/>
          <w:szCs w:val="20"/>
          <w:lang w:val="en-GB" w:eastAsia="en-GB"/>
        </w:rPr>
        <w:drawing>
          <wp:inline distT="0" distB="0" distL="0" distR="0" wp14:anchorId="426731DD" wp14:editId="0BF0D157">
            <wp:extent cx="6010275" cy="1057275"/>
            <wp:effectExtent l="1905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32D20" w:rsidRPr="00726960" w:rsidRDefault="00C32D20" w:rsidP="00C32D20">
      <w:pPr>
        <w:spacing w:after="0" w:line="240" w:lineRule="auto"/>
        <w:rPr>
          <w:rFonts w:ascii="Arial" w:eastAsia="Times New Roman" w:hAnsi="Arial" w:cs="Arial"/>
          <w:b/>
          <w:color w:val="222222"/>
          <w:sz w:val="20"/>
          <w:szCs w:val="20"/>
          <w:lang w:val="en-GB"/>
        </w:rPr>
      </w:pPr>
    </w:p>
    <w:p w:rsidR="00C32D20" w:rsidRPr="00726960" w:rsidRDefault="00C32D20" w:rsidP="00C32D20">
      <w:pPr>
        <w:spacing w:after="0" w:line="240" w:lineRule="auto"/>
        <w:rPr>
          <w:rFonts w:ascii="Arial" w:eastAsia="Times New Roman" w:hAnsi="Arial" w:cs="Arial"/>
          <w:b/>
          <w:color w:val="222222"/>
          <w:sz w:val="20"/>
          <w:szCs w:val="20"/>
          <w:lang w:val="en-GB"/>
        </w:rPr>
      </w:pPr>
      <w:r w:rsidRPr="00726960">
        <w:rPr>
          <w:rFonts w:ascii="Arial" w:eastAsia="Times New Roman" w:hAnsi="Arial" w:cs="Arial"/>
          <w:b/>
          <w:color w:val="222222"/>
          <w:sz w:val="20"/>
          <w:szCs w:val="20"/>
          <w:lang w:val="en-GB"/>
        </w:rPr>
        <w:t xml:space="preserve">* Potential disadvantages </w:t>
      </w:r>
    </w:p>
    <w:p w:rsidR="00C32D20" w:rsidRPr="00726960" w:rsidRDefault="00C32D20" w:rsidP="00C32D20">
      <w:pPr>
        <w:spacing w:after="0" w:line="240" w:lineRule="auto"/>
        <w:rPr>
          <w:rFonts w:ascii="Arial" w:eastAsia="Times New Roman" w:hAnsi="Arial" w:cs="Arial"/>
          <w:color w:val="222222"/>
          <w:sz w:val="20"/>
          <w:szCs w:val="20"/>
          <w:lang w:val="en-GB"/>
        </w:rPr>
      </w:pPr>
      <w:r w:rsidRPr="00726960">
        <w:rPr>
          <w:rFonts w:ascii="Arial" w:hAnsi="Arial" w:cs="Arial"/>
          <w:noProof/>
          <w:sz w:val="20"/>
          <w:szCs w:val="20"/>
          <w:lang w:val="en-GB" w:eastAsia="en-GB"/>
        </w:rPr>
        <w:drawing>
          <wp:inline distT="0" distB="0" distL="0" distR="0" wp14:anchorId="309BB938" wp14:editId="611D5F2D">
            <wp:extent cx="6010275" cy="1190625"/>
            <wp:effectExtent l="19050" t="0" r="952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32D20" w:rsidRPr="00726960" w:rsidRDefault="00C32D20" w:rsidP="00C32D20">
      <w:pPr>
        <w:spacing w:after="0" w:line="240" w:lineRule="auto"/>
        <w:rPr>
          <w:rFonts w:ascii="Arial" w:hAnsi="Arial" w:cs="Arial"/>
          <w:sz w:val="20"/>
          <w:szCs w:val="20"/>
          <w:lang w:val="en-GB"/>
        </w:rPr>
      </w:pPr>
    </w:p>
    <w:bookmarkEnd w:id="0"/>
    <w:bookmarkEnd w:id="1"/>
    <w:p w:rsidR="00196C80" w:rsidRDefault="00196C80" w:rsidP="00196C80">
      <w:pPr>
        <w:pStyle w:val="Paragraph"/>
        <w:numPr>
          <w:ilvl w:val="0"/>
          <w:numId w:val="3"/>
        </w:numPr>
        <w:spacing w:after="0" w:line="240" w:lineRule="auto"/>
        <w:rPr>
          <w:rFonts w:ascii="Arial" w:hAnsi="Arial" w:cs="Arial"/>
          <w:sz w:val="20"/>
          <w:szCs w:val="20"/>
        </w:rPr>
      </w:pPr>
      <w:r w:rsidRPr="00196C80">
        <w:rPr>
          <w:rFonts w:ascii="Arial" w:hAnsi="Arial" w:cs="Arial"/>
          <w:sz w:val="20"/>
          <w:szCs w:val="20"/>
        </w:rPr>
        <w:t xml:space="preserve">The study concluded with a </w:t>
      </w:r>
      <w:r w:rsidR="00A74521">
        <w:rPr>
          <w:rFonts w:ascii="Arial" w:hAnsi="Arial" w:cs="Arial"/>
          <w:sz w:val="20"/>
          <w:szCs w:val="20"/>
        </w:rPr>
        <w:t xml:space="preserve">number of </w:t>
      </w:r>
      <w:r w:rsidRPr="00196C80">
        <w:rPr>
          <w:rFonts w:ascii="Arial" w:hAnsi="Arial" w:cs="Arial"/>
          <w:sz w:val="20"/>
          <w:szCs w:val="20"/>
        </w:rPr>
        <w:t xml:space="preserve">necessary ‘ingredients’ for an activity-based costing model to work. </w:t>
      </w:r>
      <w:r w:rsidR="00AD1A46">
        <w:rPr>
          <w:rFonts w:ascii="Arial" w:hAnsi="Arial" w:cs="Arial"/>
          <w:sz w:val="20"/>
          <w:szCs w:val="20"/>
        </w:rPr>
        <w:t>The key ones are referenced b</w:t>
      </w:r>
      <w:r>
        <w:rPr>
          <w:rFonts w:ascii="Arial" w:hAnsi="Arial" w:cs="Arial"/>
          <w:sz w:val="20"/>
          <w:szCs w:val="20"/>
        </w:rPr>
        <w:t xml:space="preserve">elow: </w:t>
      </w:r>
    </w:p>
    <w:p w:rsidR="00196C80" w:rsidRPr="003E5187" w:rsidRDefault="00196C80" w:rsidP="00AD1A46">
      <w:pPr>
        <w:pStyle w:val="Paragraph"/>
        <w:numPr>
          <w:ilvl w:val="0"/>
          <w:numId w:val="5"/>
        </w:numPr>
        <w:spacing w:before="120" w:after="60" w:line="240" w:lineRule="auto"/>
        <w:ind w:left="360" w:firstLine="66"/>
        <w:rPr>
          <w:rFonts w:ascii="Arial" w:hAnsi="Arial" w:cs="Arial"/>
          <w:sz w:val="20"/>
          <w:szCs w:val="20"/>
        </w:rPr>
      </w:pPr>
      <w:r w:rsidRPr="003E5187">
        <w:rPr>
          <w:rFonts w:ascii="Arial" w:hAnsi="Arial" w:cs="Arial"/>
          <w:b/>
          <w:sz w:val="20"/>
          <w:szCs w:val="20"/>
        </w:rPr>
        <w:t xml:space="preserve">Transparency of and consistency in costing methods is needed, taking into account </w:t>
      </w:r>
      <w:r w:rsidR="006B1E7B">
        <w:rPr>
          <w:rFonts w:ascii="Arial" w:hAnsi="Arial" w:cs="Arial"/>
          <w:b/>
          <w:sz w:val="20"/>
          <w:szCs w:val="20"/>
        </w:rPr>
        <w:t>the particularities of different clusters/sectors</w:t>
      </w:r>
      <w:r w:rsidR="00542623">
        <w:rPr>
          <w:rFonts w:ascii="Arial" w:hAnsi="Arial" w:cs="Arial"/>
          <w:b/>
          <w:sz w:val="20"/>
          <w:szCs w:val="20"/>
        </w:rPr>
        <w:t xml:space="preserve">. </w:t>
      </w:r>
      <w:r w:rsidRPr="003E5187">
        <w:rPr>
          <w:rFonts w:ascii="Arial" w:hAnsi="Arial" w:cs="Arial"/>
          <w:sz w:val="20"/>
          <w:szCs w:val="20"/>
        </w:rPr>
        <w:t xml:space="preserve">The </w:t>
      </w:r>
      <w:r w:rsidRPr="003E5187">
        <w:rPr>
          <w:rFonts w:ascii="Arial" w:hAnsi="Arial" w:cs="Arial"/>
          <w:sz w:val="20"/>
          <w:szCs w:val="20"/>
        </w:rPr>
        <w:t xml:space="preserve">study highlights that activity-based </w:t>
      </w:r>
      <w:r w:rsidR="00AD1A46">
        <w:rPr>
          <w:rFonts w:ascii="Arial" w:hAnsi="Arial" w:cs="Arial"/>
          <w:sz w:val="20"/>
          <w:szCs w:val="20"/>
        </w:rPr>
        <w:t xml:space="preserve">costing </w:t>
      </w:r>
      <w:r w:rsidRPr="003E5187">
        <w:rPr>
          <w:rFonts w:ascii="Arial" w:hAnsi="Arial" w:cs="Arial"/>
          <w:sz w:val="20"/>
          <w:szCs w:val="20"/>
        </w:rPr>
        <w:t xml:space="preserve">methods are currently “very inconsistent, lacking technical depth, credibility and transparency in data sources and assumption. This weakens their ability to convince stakeholders of their merits and their value as support to planning and resource mobilisation (…) The issue is both in generating costing estimates and in communicating the margins of error based on the quality of data sources (…) Many examples of good practice could be shared more widely” (p.36). </w:t>
      </w:r>
    </w:p>
    <w:p w:rsidR="003E5187" w:rsidRPr="00F613B1" w:rsidRDefault="00196C80" w:rsidP="00C655B3">
      <w:pPr>
        <w:pStyle w:val="Paragraph"/>
        <w:numPr>
          <w:ilvl w:val="0"/>
          <w:numId w:val="5"/>
        </w:numPr>
        <w:spacing w:after="60" w:line="240" w:lineRule="auto"/>
        <w:ind w:left="360" w:firstLine="66"/>
        <w:rPr>
          <w:rFonts w:ascii="Arial" w:hAnsi="Arial" w:cs="Arial"/>
          <w:sz w:val="20"/>
          <w:szCs w:val="20"/>
        </w:rPr>
      </w:pPr>
      <w:r w:rsidRPr="003E5187">
        <w:rPr>
          <w:rFonts w:ascii="Arial" w:hAnsi="Arial" w:cs="Arial"/>
          <w:b/>
          <w:sz w:val="20"/>
          <w:szCs w:val="20"/>
        </w:rPr>
        <w:lastRenderedPageBreak/>
        <w:t>Sector-based project tracking is needed in some form</w:t>
      </w:r>
      <w:r w:rsidR="003E5187" w:rsidRPr="003E5187">
        <w:rPr>
          <w:rFonts w:ascii="Arial" w:hAnsi="Arial" w:cs="Arial"/>
          <w:b/>
          <w:sz w:val="20"/>
          <w:szCs w:val="20"/>
        </w:rPr>
        <w:t xml:space="preserve">.  </w:t>
      </w:r>
      <w:r w:rsidRPr="003E5187">
        <w:rPr>
          <w:rFonts w:ascii="Arial" w:hAnsi="Arial" w:cs="Arial"/>
          <w:sz w:val="20"/>
          <w:szCs w:val="20"/>
        </w:rPr>
        <w:t>The study concludes that “projects are needed in some form to allow activity and financial tracking for cluster and donor co</w:t>
      </w:r>
      <w:r w:rsidR="003E5187">
        <w:rPr>
          <w:rFonts w:ascii="Arial" w:hAnsi="Arial" w:cs="Arial"/>
          <w:sz w:val="20"/>
          <w:szCs w:val="20"/>
        </w:rPr>
        <w:t>ordination”</w:t>
      </w:r>
      <w:r w:rsidR="006B1E7B">
        <w:rPr>
          <w:rFonts w:ascii="Arial" w:hAnsi="Arial" w:cs="Arial"/>
          <w:sz w:val="20"/>
          <w:szCs w:val="20"/>
        </w:rPr>
        <w:t>, but that the actual planning of projects could be delayed until after the strategic planning process</w:t>
      </w:r>
      <w:r w:rsidR="003E5187">
        <w:rPr>
          <w:rFonts w:ascii="Arial" w:hAnsi="Arial" w:cs="Arial"/>
          <w:sz w:val="20"/>
          <w:szCs w:val="20"/>
        </w:rPr>
        <w:t>. A “projectless” humanitarian programme cycle</w:t>
      </w:r>
      <w:r w:rsidRPr="003E5187">
        <w:rPr>
          <w:rFonts w:ascii="Arial" w:hAnsi="Arial" w:cs="Arial"/>
          <w:sz w:val="20"/>
          <w:szCs w:val="20"/>
        </w:rPr>
        <w:t xml:space="preserve"> is hard to imagine; (…) the timing of projecti</w:t>
      </w:r>
      <w:r w:rsidR="00AD1A46">
        <w:rPr>
          <w:rFonts w:ascii="Arial" w:hAnsi="Arial" w:cs="Arial"/>
          <w:sz w:val="20"/>
          <w:szCs w:val="20"/>
        </w:rPr>
        <w:t>z</w:t>
      </w:r>
      <w:r w:rsidRPr="003E5187">
        <w:rPr>
          <w:rFonts w:ascii="Arial" w:hAnsi="Arial" w:cs="Arial"/>
          <w:sz w:val="20"/>
          <w:szCs w:val="20"/>
        </w:rPr>
        <w:t xml:space="preserve">ation is what varies along with the level of effort involved in preparing specific documents and cluster vetting” (p.36). This refers to deferred project planning as </w:t>
      </w:r>
      <w:r w:rsidR="00AD1A46">
        <w:rPr>
          <w:rFonts w:ascii="Arial" w:hAnsi="Arial" w:cs="Arial"/>
          <w:sz w:val="20"/>
          <w:szCs w:val="20"/>
        </w:rPr>
        <w:t>done in Haiti, Iraq, Yemen and the Central African Republic</w:t>
      </w:r>
      <w:r w:rsidR="003E5187">
        <w:rPr>
          <w:rFonts w:ascii="Arial" w:hAnsi="Arial" w:cs="Arial"/>
          <w:sz w:val="20"/>
          <w:szCs w:val="20"/>
        </w:rPr>
        <w:t xml:space="preserve">; </w:t>
      </w:r>
      <w:r w:rsidRPr="003E5187">
        <w:rPr>
          <w:rFonts w:ascii="Arial" w:hAnsi="Arial" w:cs="Arial"/>
          <w:sz w:val="20"/>
          <w:szCs w:val="20"/>
        </w:rPr>
        <w:t xml:space="preserve">the initial </w:t>
      </w:r>
      <w:r w:rsidR="003E5187">
        <w:rPr>
          <w:rFonts w:ascii="Arial" w:hAnsi="Arial" w:cs="Arial"/>
          <w:sz w:val="20"/>
          <w:szCs w:val="20"/>
        </w:rPr>
        <w:t>strategic response plan</w:t>
      </w:r>
      <w:r w:rsidRPr="003E5187">
        <w:rPr>
          <w:rFonts w:ascii="Arial" w:hAnsi="Arial" w:cs="Arial"/>
          <w:sz w:val="20"/>
          <w:szCs w:val="20"/>
        </w:rPr>
        <w:t xml:space="preserve"> is launched with activity-based costing figures, and later complemented with coordinated project planning </w:t>
      </w:r>
      <w:r w:rsidR="00AD1A46">
        <w:rPr>
          <w:rFonts w:ascii="Arial" w:hAnsi="Arial" w:cs="Arial"/>
          <w:sz w:val="20"/>
          <w:szCs w:val="20"/>
        </w:rPr>
        <w:t>for monitoring, resource mobiliz</w:t>
      </w:r>
      <w:r w:rsidRPr="003E5187">
        <w:rPr>
          <w:rFonts w:ascii="Arial" w:hAnsi="Arial" w:cs="Arial"/>
          <w:sz w:val="20"/>
          <w:szCs w:val="20"/>
        </w:rPr>
        <w:t xml:space="preserve">ation and tracking </w:t>
      </w:r>
      <w:r w:rsidRPr="00F613B1">
        <w:rPr>
          <w:rFonts w:ascii="Arial" w:hAnsi="Arial" w:cs="Arial"/>
          <w:sz w:val="20"/>
          <w:szCs w:val="20"/>
        </w:rPr>
        <w:t xml:space="preserve">purposes. </w:t>
      </w:r>
      <w:r w:rsidR="003E5187" w:rsidRPr="00F613B1">
        <w:rPr>
          <w:rFonts w:ascii="Arial" w:hAnsi="Arial" w:cs="Arial"/>
          <w:sz w:val="20"/>
          <w:szCs w:val="20"/>
        </w:rPr>
        <w:t xml:space="preserve">In the few contexts where coordinated project planning was dropped altogether, there was concern about accountability and transparency of funding and operations, and this demanded increased OCHA and cluster capacity to be able to match donor funding to planned activities.  </w:t>
      </w:r>
    </w:p>
    <w:p w:rsidR="00F613B1" w:rsidRDefault="00196C80" w:rsidP="00C655B3">
      <w:pPr>
        <w:pStyle w:val="Paragraph"/>
        <w:numPr>
          <w:ilvl w:val="0"/>
          <w:numId w:val="5"/>
        </w:numPr>
        <w:spacing w:after="60" w:line="240" w:lineRule="auto"/>
        <w:ind w:left="426" w:firstLine="0"/>
        <w:rPr>
          <w:rFonts w:ascii="Arial" w:hAnsi="Arial" w:cs="Arial"/>
          <w:sz w:val="20"/>
          <w:szCs w:val="20"/>
        </w:rPr>
      </w:pPr>
      <w:r w:rsidRPr="00F613B1">
        <w:rPr>
          <w:rFonts w:ascii="Arial" w:hAnsi="Arial" w:cs="Arial"/>
          <w:sz w:val="20"/>
          <w:szCs w:val="20"/>
        </w:rPr>
        <w:t xml:space="preserve"> </w:t>
      </w:r>
      <w:r w:rsidR="006B1E7B">
        <w:rPr>
          <w:rFonts w:ascii="Arial" w:hAnsi="Arial" w:cs="Arial"/>
          <w:b/>
          <w:sz w:val="20"/>
          <w:szCs w:val="20"/>
        </w:rPr>
        <w:t xml:space="preserve">If activity-based costing is applied, OCHA and cluster coordinators need to provide </w:t>
      </w:r>
      <w:r w:rsidR="00AD1A46">
        <w:rPr>
          <w:rFonts w:ascii="Arial" w:hAnsi="Arial" w:cs="Arial"/>
          <w:b/>
          <w:sz w:val="20"/>
          <w:szCs w:val="20"/>
        </w:rPr>
        <w:t xml:space="preserve">sufficient </w:t>
      </w:r>
      <w:r w:rsidR="006B1E7B">
        <w:rPr>
          <w:rFonts w:ascii="Arial" w:hAnsi="Arial" w:cs="Arial"/>
          <w:b/>
          <w:sz w:val="20"/>
          <w:szCs w:val="20"/>
        </w:rPr>
        <w:t>support</w:t>
      </w:r>
      <w:r w:rsidR="00F613B1" w:rsidRPr="00F613B1">
        <w:rPr>
          <w:rFonts w:ascii="Arial" w:hAnsi="Arial" w:cs="Arial"/>
          <w:b/>
          <w:sz w:val="20"/>
          <w:szCs w:val="20"/>
        </w:rPr>
        <w:t xml:space="preserve">. </w:t>
      </w:r>
      <w:r w:rsidR="006B1E7B">
        <w:rPr>
          <w:rFonts w:ascii="Arial" w:hAnsi="Arial" w:cs="Arial"/>
          <w:sz w:val="20"/>
          <w:szCs w:val="20"/>
        </w:rPr>
        <w:t>This applies</w:t>
      </w:r>
      <w:r w:rsidR="00F613B1" w:rsidRPr="00196C80">
        <w:rPr>
          <w:rFonts w:ascii="Arial" w:hAnsi="Arial" w:cs="Arial"/>
          <w:sz w:val="20"/>
          <w:szCs w:val="20"/>
        </w:rPr>
        <w:t xml:space="preserve"> particularly to information management capacity to track funding and response activities </w:t>
      </w:r>
      <w:r w:rsidR="00F613B1" w:rsidRPr="00196C80">
        <w:rPr>
          <w:rFonts w:ascii="Arial" w:hAnsi="Arial" w:cs="Arial"/>
          <w:sz w:val="20"/>
          <w:szCs w:val="20"/>
        </w:rPr>
        <w:t>for transparency and accountability.</w:t>
      </w:r>
    </w:p>
    <w:p w:rsidR="00196C80" w:rsidRPr="003E5E53" w:rsidRDefault="00196C80" w:rsidP="00C655B3">
      <w:pPr>
        <w:pStyle w:val="Paragraph"/>
        <w:numPr>
          <w:ilvl w:val="0"/>
          <w:numId w:val="5"/>
        </w:numPr>
        <w:spacing w:after="60" w:line="240" w:lineRule="auto"/>
        <w:ind w:left="360" w:firstLine="0"/>
        <w:rPr>
          <w:rFonts w:ascii="Arial" w:hAnsi="Arial" w:cs="Arial"/>
          <w:sz w:val="20"/>
          <w:szCs w:val="20"/>
        </w:rPr>
      </w:pPr>
      <w:r w:rsidRPr="00F613B1">
        <w:rPr>
          <w:rFonts w:ascii="Arial" w:hAnsi="Arial" w:cs="Arial"/>
          <w:b/>
          <w:sz w:val="20"/>
          <w:szCs w:val="20"/>
        </w:rPr>
        <w:t xml:space="preserve">The process of introducing </w:t>
      </w:r>
      <w:r w:rsidR="00AD1A46">
        <w:rPr>
          <w:rFonts w:ascii="Arial" w:hAnsi="Arial" w:cs="Arial"/>
          <w:b/>
          <w:sz w:val="20"/>
          <w:szCs w:val="20"/>
        </w:rPr>
        <w:t>a new approach</w:t>
      </w:r>
      <w:r w:rsidRPr="00F613B1">
        <w:rPr>
          <w:rFonts w:ascii="Arial" w:hAnsi="Arial" w:cs="Arial"/>
          <w:b/>
          <w:sz w:val="20"/>
          <w:szCs w:val="20"/>
        </w:rPr>
        <w:t xml:space="preserve"> is very important, </w:t>
      </w:r>
      <w:r w:rsidR="00AD1A46">
        <w:rPr>
          <w:rFonts w:ascii="Arial" w:hAnsi="Arial" w:cs="Arial"/>
          <w:b/>
          <w:sz w:val="20"/>
          <w:szCs w:val="20"/>
        </w:rPr>
        <w:t xml:space="preserve">and there needs to be sufficient </w:t>
      </w:r>
      <w:r w:rsidRPr="00F613B1">
        <w:rPr>
          <w:rFonts w:ascii="Arial" w:hAnsi="Arial" w:cs="Arial"/>
          <w:b/>
          <w:sz w:val="20"/>
          <w:szCs w:val="20"/>
        </w:rPr>
        <w:t xml:space="preserve">time and </w:t>
      </w:r>
      <w:proofErr w:type="gramStart"/>
      <w:r w:rsidRPr="00F613B1">
        <w:rPr>
          <w:rFonts w:ascii="Arial" w:hAnsi="Arial" w:cs="Arial"/>
          <w:b/>
          <w:sz w:val="20"/>
          <w:szCs w:val="20"/>
        </w:rPr>
        <w:t>support to allow buy-</w:t>
      </w:r>
      <w:proofErr w:type="gramEnd"/>
      <w:r w:rsidRPr="00F613B1">
        <w:rPr>
          <w:rFonts w:ascii="Arial" w:hAnsi="Arial" w:cs="Arial"/>
          <w:b/>
          <w:sz w:val="20"/>
          <w:szCs w:val="20"/>
        </w:rPr>
        <w:t>in</w:t>
      </w:r>
      <w:r w:rsidR="00F613B1">
        <w:rPr>
          <w:rFonts w:ascii="Arial" w:hAnsi="Arial" w:cs="Arial"/>
          <w:b/>
          <w:sz w:val="20"/>
          <w:szCs w:val="20"/>
        </w:rPr>
        <w:t>.</w:t>
      </w:r>
      <w:r w:rsidRPr="00F613B1">
        <w:rPr>
          <w:rFonts w:ascii="Arial" w:hAnsi="Arial" w:cs="Arial"/>
          <w:sz w:val="20"/>
          <w:szCs w:val="20"/>
        </w:rPr>
        <w:t xml:space="preserve"> The consultants r</w:t>
      </w:r>
      <w:r w:rsidR="00AD1A46">
        <w:rPr>
          <w:rFonts w:ascii="Arial" w:hAnsi="Arial" w:cs="Arial"/>
          <w:sz w:val="20"/>
          <w:szCs w:val="20"/>
        </w:rPr>
        <w:t>eceived</w:t>
      </w:r>
      <w:r w:rsidRPr="00F613B1">
        <w:rPr>
          <w:rFonts w:ascii="Arial" w:hAnsi="Arial" w:cs="Arial"/>
          <w:sz w:val="20"/>
          <w:szCs w:val="20"/>
        </w:rPr>
        <w:t xml:space="preserve"> feedback from </w:t>
      </w:r>
      <w:r w:rsidR="00AD1A46">
        <w:rPr>
          <w:rFonts w:ascii="Arial" w:hAnsi="Arial" w:cs="Arial"/>
          <w:sz w:val="20"/>
          <w:szCs w:val="20"/>
        </w:rPr>
        <w:t>the</w:t>
      </w:r>
      <w:r w:rsidRPr="00F613B1">
        <w:rPr>
          <w:rFonts w:ascii="Arial" w:hAnsi="Arial" w:cs="Arial"/>
          <w:sz w:val="20"/>
          <w:szCs w:val="20"/>
        </w:rPr>
        <w:t xml:space="preserve"> case stud</w:t>
      </w:r>
      <w:r w:rsidR="00AD1A46">
        <w:rPr>
          <w:rFonts w:ascii="Arial" w:hAnsi="Arial" w:cs="Arial"/>
          <w:sz w:val="20"/>
          <w:szCs w:val="20"/>
        </w:rPr>
        <w:t xml:space="preserve">y countries </w:t>
      </w:r>
      <w:r w:rsidR="000B42FB">
        <w:rPr>
          <w:rFonts w:ascii="Arial" w:hAnsi="Arial" w:cs="Arial"/>
          <w:sz w:val="20"/>
          <w:szCs w:val="20"/>
        </w:rPr>
        <w:t xml:space="preserve">which referred </w:t>
      </w:r>
      <w:r w:rsidRPr="00F613B1">
        <w:rPr>
          <w:rFonts w:ascii="Arial" w:hAnsi="Arial" w:cs="Arial"/>
          <w:sz w:val="20"/>
          <w:szCs w:val="20"/>
        </w:rPr>
        <w:t>to a “rushed” introduction at the country level</w:t>
      </w:r>
      <w:r w:rsidR="000B42FB">
        <w:rPr>
          <w:rFonts w:ascii="Arial" w:hAnsi="Arial" w:cs="Arial"/>
          <w:sz w:val="20"/>
          <w:szCs w:val="20"/>
        </w:rPr>
        <w:t>,</w:t>
      </w:r>
      <w:r w:rsidRPr="00F613B1">
        <w:rPr>
          <w:rFonts w:ascii="Arial" w:hAnsi="Arial" w:cs="Arial"/>
          <w:sz w:val="20"/>
          <w:szCs w:val="20"/>
        </w:rPr>
        <w:t xml:space="preserve"> ul</w:t>
      </w:r>
      <w:r w:rsidR="00AD1A46">
        <w:rPr>
          <w:rFonts w:ascii="Arial" w:hAnsi="Arial" w:cs="Arial"/>
          <w:sz w:val="20"/>
          <w:szCs w:val="20"/>
        </w:rPr>
        <w:t xml:space="preserve">timately </w:t>
      </w:r>
      <w:r w:rsidR="000B42FB">
        <w:rPr>
          <w:rFonts w:ascii="Arial" w:hAnsi="Arial" w:cs="Arial"/>
          <w:sz w:val="20"/>
          <w:szCs w:val="20"/>
        </w:rPr>
        <w:t xml:space="preserve">affecting </w:t>
      </w:r>
      <w:r w:rsidRPr="00F613B1">
        <w:rPr>
          <w:rFonts w:ascii="Arial" w:hAnsi="Arial" w:cs="Arial"/>
          <w:sz w:val="20"/>
          <w:szCs w:val="20"/>
        </w:rPr>
        <w:t>implementation</w:t>
      </w:r>
      <w:r w:rsidR="00AD1A46">
        <w:rPr>
          <w:rFonts w:ascii="Arial" w:hAnsi="Arial" w:cs="Arial"/>
          <w:sz w:val="20"/>
          <w:szCs w:val="20"/>
        </w:rPr>
        <w:t xml:space="preserve"> of the approach. It</w:t>
      </w:r>
      <w:r w:rsidRPr="00F613B1">
        <w:rPr>
          <w:rFonts w:ascii="Arial" w:hAnsi="Arial" w:cs="Arial"/>
          <w:sz w:val="20"/>
          <w:szCs w:val="20"/>
        </w:rPr>
        <w:t xml:space="preserve"> conclud</w:t>
      </w:r>
      <w:r w:rsidR="00AD1A46">
        <w:rPr>
          <w:rFonts w:ascii="Arial" w:hAnsi="Arial" w:cs="Arial"/>
          <w:sz w:val="20"/>
          <w:szCs w:val="20"/>
        </w:rPr>
        <w:t>es</w:t>
      </w:r>
      <w:r w:rsidRPr="00F613B1">
        <w:rPr>
          <w:rFonts w:ascii="Arial" w:hAnsi="Arial" w:cs="Arial"/>
          <w:sz w:val="20"/>
          <w:szCs w:val="20"/>
        </w:rPr>
        <w:t xml:space="preserve"> that  “</w:t>
      </w:r>
      <w:r w:rsidRPr="003E5E53">
        <w:rPr>
          <w:rFonts w:ascii="Arial" w:hAnsi="Arial" w:cs="Arial"/>
          <w:sz w:val="20"/>
          <w:szCs w:val="20"/>
        </w:rPr>
        <w:t>global and country level clusters will need to ‘own</w:t>
      </w:r>
      <w:r w:rsidR="005F7A7E" w:rsidRPr="003E5E53">
        <w:rPr>
          <w:rFonts w:ascii="Arial" w:hAnsi="Arial" w:cs="Arial"/>
          <w:sz w:val="20"/>
          <w:szCs w:val="20"/>
        </w:rPr>
        <w:t>’</w:t>
      </w:r>
      <w:r w:rsidRPr="003E5E53">
        <w:rPr>
          <w:rFonts w:ascii="Arial" w:hAnsi="Arial" w:cs="Arial"/>
          <w:sz w:val="20"/>
          <w:szCs w:val="20"/>
        </w:rPr>
        <w:t xml:space="preserve"> </w:t>
      </w:r>
      <w:r w:rsidR="00F613B1" w:rsidRPr="003E5E53">
        <w:rPr>
          <w:rFonts w:ascii="Arial" w:hAnsi="Arial" w:cs="Arial"/>
          <w:sz w:val="20"/>
          <w:szCs w:val="20"/>
        </w:rPr>
        <w:t>activity-based costing</w:t>
      </w:r>
      <w:r w:rsidRPr="003E5E53">
        <w:rPr>
          <w:rFonts w:ascii="Arial" w:hAnsi="Arial" w:cs="Arial"/>
          <w:sz w:val="20"/>
          <w:szCs w:val="20"/>
        </w:rPr>
        <w:t xml:space="preserve"> much more than they currently do if it is to be an effective coordination method” (p.37). </w:t>
      </w:r>
    </w:p>
    <w:p w:rsidR="00196C80" w:rsidRPr="003E5E53" w:rsidRDefault="00196C80" w:rsidP="00196C80">
      <w:pPr>
        <w:pStyle w:val="Paragraph"/>
        <w:spacing w:after="0" w:line="240" w:lineRule="auto"/>
        <w:ind w:left="360"/>
        <w:rPr>
          <w:rFonts w:ascii="Arial" w:hAnsi="Arial" w:cs="Arial"/>
          <w:sz w:val="20"/>
          <w:szCs w:val="20"/>
        </w:rPr>
      </w:pPr>
    </w:p>
    <w:p w:rsidR="00400B0A" w:rsidRPr="003E5E53" w:rsidRDefault="00400B0A" w:rsidP="00F613B1">
      <w:pPr>
        <w:pStyle w:val="Paragraph"/>
        <w:numPr>
          <w:ilvl w:val="0"/>
          <w:numId w:val="3"/>
        </w:numPr>
        <w:spacing w:after="0" w:line="240" w:lineRule="auto"/>
        <w:rPr>
          <w:rFonts w:ascii="Arial" w:hAnsi="Arial" w:cs="Arial"/>
          <w:sz w:val="20"/>
          <w:szCs w:val="20"/>
        </w:rPr>
      </w:pPr>
      <w:r w:rsidRPr="003E5E53">
        <w:rPr>
          <w:rFonts w:ascii="Arial" w:hAnsi="Arial" w:cs="Arial"/>
          <w:sz w:val="20"/>
          <w:szCs w:val="20"/>
        </w:rPr>
        <w:t>Given the above, OCHA country offices and clusters in contexts that use a</w:t>
      </w:r>
      <w:r w:rsidR="000B42FB" w:rsidRPr="003E5E53">
        <w:rPr>
          <w:rFonts w:ascii="Arial" w:hAnsi="Arial" w:cs="Arial"/>
          <w:sz w:val="20"/>
          <w:szCs w:val="20"/>
        </w:rPr>
        <w:t>n</w:t>
      </w:r>
      <w:r w:rsidRPr="003E5E53">
        <w:rPr>
          <w:rFonts w:ascii="Arial" w:hAnsi="Arial" w:cs="Arial"/>
          <w:sz w:val="20"/>
          <w:szCs w:val="20"/>
        </w:rPr>
        <w:t xml:space="preserve"> activity-based costing approach are encouraged to:</w:t>
      </w:r>
    </w:p>
    <w:p w:rsidR="00400B0A" w:rsidRPr="003E5E53" w:rsidRDefault="00F613B1" w:rsidP="0024001A">
      <w:pPr>
        <w:pStyle w:val="Paragraph"/>
        <w:numPr>
          <w:ilvl w:val="0"/>
          <w:numId w:val="7"/>
        </w:numPr>
        <w:spacing w:before="120" w:after="0" w:line="240" w:lineRule="auto"/>
        <w:rPr>
          <w:rFonts w:ascii="Arial" w:hAnsi="Arial" w:cs="Arial"/>
          <w:b/>
          <w:sz w:val="20"/>
          <w:szCs w:val="20"/>
        </w:rPr>
      </w:pPr>
      <w:r w:rsidRPr="003E5E53">
        <w:rPr>
          <w:rFonts w:ascii="Arial" w:hAnsi="Arial" w:cs="Arial"/>
          <w:b/>
          <w:sz w:val="20"/>
          <w:szCs w:val="20"/>
        </w:rPr>
        <w:t xml:space="preserve">Document </w:t>
      </w:r>
      <w:r w:rsidR="006B1E7B" w:rsidRPr="003E5E53">
        <w:rPr>
          <w:rFonts w:ascii="Arial" w:hAnsi="Arial" w:cs="Arial"/>
          <w:b/>
          <w:sz w:val="20"/>
          <w:szCs w:val="20"/>
        </w:rPr>
        <w:t>per cluster the</w:t>
      </w:r>
      <w:r w:rsidRPr="003E5E53">
        <w:rPr>
          <w:rFonts w:ascii="Arial" w:hAnsi="Arial" w:cs="Arial"/>
          <w:b/>
          <w:sz w:val="20"/>
          <w:szCs w:val="20"/>
        </w:rPr>
        <w:t xml:space="preserve"> </w:t>
      </w:r>
      <w:r w:rsidR="00400B0A" w:rsidRPr="003E5E53">
        <w:rPr>
          <w:rFonts w:ascii="Arial" w:hAnsi="Arial" w:cs="Arial"/>
          <w:b/>
          <w:sz w:val="20"/>
          <w:szCs w:val="20"/>
        </w:rPr>
        <w:t xml:space="preserve">activity-based </w:t>
      </w:r>
      <w:r w:rsidRPr="003E5E53">
        <w:rPr>
          <w:rFonts w:ascii="Arial" w:hAnsi="Arial" w:cs="Arial"/>
          <w:b/>
          <w:sz w:val="20"/>
          <w:szCs w:val="20"/>
        </w:rPr>
        <w:t xml:space="preserve">costing </w:t>
      </w:r>
      <w:r w:rsidR="006B1E7B" w:rsidRPr="003E5E53">
        <w:rPr>
          <w:rFonts w:ascii="Arial" w:hAnsi="Arial" w:cs="Arial"/>
          <w:b/>
          <w:sz w:val="20"/>
          <w:szCs w:val="20"/>
        </w:rPr>
        <w:t>methodology applied during the 2015 planning process</w:t>
      </w:r>
      <w:r w:rsidR="002E5A86" w:rsidRPr="003E5E53">
        <w:rPr>
          <w:rFonts w:ascii="Arial" w:hAnsi="Arial" w:cs="Arial"/>
          <w:b/>
          <w:sz w:val="20"/>
          <w:szCs w:val="20"/>
        </w:rPr>
        <w:t>.  The data sources</w:t>
      </w:r>
      <w:r w:rsidR="00400B0A" w:rsidRPr="003E5E53">
        <w:rPr>
          <w:rFonts w:ascii="Arial" w:hAnsi="Arial" w:cs="Arial"/>
          <w:b/>
          <w:sz w:val="20"/>
          <w:szCs w:val="20"/>
        </w:rPr>
        <w:t xml:space="preserve"> need to be clearly </w:t>
      </w:r>
      <w:r w:rsidR="003E5E53">
        <w:rPr>
          <w:rFonts w:ascii="Arial" w:hAnsi="Arial" w:cs="Arial"/>
          <w:b/>
          <w:sz w:val="20"/>
          <w:szCs w:val="20"/>
        </w:rPr>
        <w:t xml:space="preserve">cited </w:t>
      </w:r>
      <w:r w:rsidR="00400B0A" w:rsidRPr="003E5E53">
        <w:rPr>
          <w:rFonts w:ascii="Arial" w:hAnsi="Arial" w:cs="Arial"/>
          <w:b/>
          <w:sz w:val="20"/>
          <w:szCs w:val="20"/>
        </w:rPr>
        <w:t xml:space="preserve">and their quality assessed.  </w:t>
      </w:r>
      <w:r w:rsidR="000B42FB" w:rsidRPr="003E5E53">
        <w:rPr>
          <w:rFonts w:ascii="Arial" w:hAnsi="Arial" w:cs="Arial"/>
          <w:b/>
          <w:sz w:val="20"/>
          <w:szCs w:val="20"/>
        </w:rPr>
        <w:t>The</w:t>
      </w:r>
      <w:r w:rsidR="006B1E7B" w:rsidRPr="003E5E53">
        <w:rPr>
          <w:rFonts w:ascii="Arial" w:hAnsi="Arial" w:cs="Arial"/>
          <w:b/>
          <w:sz w:val="20"/>
          <w:szCs w:val="20"/>
        </w:rPr>
        <w:t xml:space="preserve"> OCHA </w:t>
      </w:r>
      <w:r w:rsidR="000B42FB" w:rsidRPr="003E5E53">
        <w:rPr>
          <w:rFonts w:ascii="Arial" w:hAnsi="Arial" w:cs="Arial"/>
          <w:b/>
          <w:sz w:val="20"/>
          <w:szCs w:val="20"/>
        </w:rPr>
        <w:t xml:space="preserve">country office is requested to </w:t>
      </w:r>
      <w:r w:rsidR="006B1E7B" w:rsidRPr="003E5E53">
        <w:rPr>
          <w:rFonts w:ascii="Arial" w:hAnsi="Arial" w:cs="Arial"/>
          <w:b/>
          <w:sz w:val="20"/>
          <w:szCs w:val="20"/>
        </w:rPr>
        <w:t>compil</w:t>
      </w:r>
      <w:r w:rsidR="000B42FB" w:rsidRPr="003E5E53">
        <w:rPr>
          <w:rFonts w:ascii="Arial" w:hAnsi="Arial" w:cs="Arial"/>
          <w:b/>
          <w:sz w:val="20"/>
          <w:szCs w:val="20"/>
        </w:rPr>
        <w:t xml:space="preserve">e </w:t>
      </w:r>
      <w:r w:rsidR="003E5E53" w:rsidRPr="003E5E53">
        <w:rPr>
          <w:rFonts w:ascii="Arial" w:hAnsi="Arial" w:cs="Arial"/>
          <w:b/>
          <w:sz w:val="20"/>
          <w:szCs w:val="20"/>
        </w:rPr>
        <w:t>the</w:t>
      </w:r>
      <w:r w:rsidR="006B1E7B" w:rsidRPr="003E5E53">
        <w:rPr>
          <w:rFonts w:ascii="Arial" w:hAnsi="Arial" w:cs="Arial"/>
          <w:b/>
          <w:sz w:val="20"/>
          <w:szCs w:val="20"/>
        </w:rPr>
        <w:t xml:space="preserve"> information</w:t>
      </w:r>
      <w:r w:rsidR="000B42FB" w:rsidRPr="003E5E53">
        <w:rPr>
          <w:rFonts w:ascii="Arial" w:hAnsi="Arial" w:cs="Arial"/>
          <w:b/>
          <w:sz w:val="20"/>
          <w:szCs w:val="20"/>
        </w:rPr>
        <w:t xml:space="preserve"> from clusters</w:t>
      </w:r>
      <w:r w:rsidR="003E5E53">
        <w:rPr>
          <w:rFonts w:ascii="Arial" w:hAnsi="Arial" w:cs="Arial"/>
          <w:b/>
          <w:sz w:val="20"/>
          <w:szCs w:val="20"/>
        </w:rPr>
        <w:t xml:space="preserve"> to </w:t>
      </w:r>
      <w:r w:rsidR="000B42FB" w:rsidRPr="003E5E53">
        <w:rPr>
          <w:rFonts w:ascii="Arial" w:hAnsi="Arial" w:cs="Arial"/>
          <w:b/>
          <w:sz w:val="20"/>
          <w:szCs w:val="20"/>
        </w:rPr>
        <w:t xml:space="preserve">inform further </w:t>
      </w:r>
      <w:r w:rsidR="003E5E53">
        <w:rPr>
          <w:rFonts w:ascii="Arial" w:hAnsi="Arial" w:cs="Arial"/>
          <w:b/>
          <w:sz w:val="20"/>
          <w:szCs w:val="20"/>
        </w:rPr>
        <w:t xml:space="preserve">IASC </w:t>
      </w:r>
      <w:r w:rsidR="000B42FB" w:rsidRPr="003E5E53">
        <w:rPr>
          <w:rFonts w:ascii="Arial" w:hAnsi="Arial" w:cs="Arial"/>
          <w:b/>
          <w:sz w:val="20"/>
          <w:szCs w:val="20"/>
        </w:rPr>
        <w:t>discussions</w:t>
      </w:r>
      <w:r w:rsidR="003E5E53">
        <w:rPr>
          <w:rFonts w:ascii="Arial" w:hAnsi="Arial" w:cs="Arial"/>
          <w:b/>
          <w:sz w:val="20"/>
          <w:szCs w:val="20"/>
        </w:rPr>
        <w:t xml:space="preserve"> of the practice</w:t>
      </w:r>
      <w:r w:rsidR="000B42FB" w:rsidRPr="003E5E53">
        <w:rPr>
          <w:rFonts w:ascii="Arial" w:hAnsi="Arial" w:cs="Arial"/>
          <w:b/>
          <w:sz w:val="20"/>
          <w:szCs w:val="20"/>
        </w:rPr>
        <w:t>.</w:t>
      </w:r>
    </w:p>
    <w:p w:rsidR="003E5E53" w:rsidRDefault="00167E54" w:rsidP="0024001A">
      <w:pPr>
        <w:pStyle w:val="Paragraph"/>
        <w:numPr>
          <w:ilvl w:val="0"/>
          <w:numId w:val="7"/>
        </w:numPr>
        <w:spacing w:before="120" w:after="0" w:line="240" w:lineRule="auto"/>
        <w:rPr>
          <w:rFonts w:ascii="Arial" w:hAnsi="Arial" w:cs="Arial"/>
          <w:b/>
          <w:sz w:val="20"/>
          <w:szCs w:val="20"/>
        </w:rPr>
      </w:pPr>
      <w:r w:rsidRPr="003E5E53">
        <w:rPr>
          <w:rFonts w:ascii="Arial" w:hAnsi="Arial" w:cs="Arial"/>
          <w:b/>
          <w:sz w:val="20"/>
          <w:szCs w:val="20"/>
        </w:rPr>
        <w:t>A</w:t>
      </w:r>
      <w:r w:rsidR="006B1E7B" w:rsidRPr="003E5E53">
        <w:rPr>
          <w:rFonts w:ascii="Arial" w:hAnsi="Arial" w:cs="Arial"/>
          <w:b/>
          <w:sz w:val="20"/>
          <w:szCs w:val="20"/>
        </w:rPr>
        <w:t>llow sufficient time for discussion and buy-in</w:t>
      </w:r>
      <w:r w:rsidR="003E5E53" w:rsidRPr="003E5E53">
        <w:rPr>
          <w:rFonts w:ascii="Arial" w:hAnsi="Arial" w:cs="Arial"/>
          <w:b/>
          <w:sz w:val="20"/>
          <w:szCs w:val="20"/>
        </w:rPr>
        <w:t xml:space="preserve"> of the approach</w:t>
      </w:r>
      <w:r w:rsidR="00C655B3" w:rsidRPr="003E5E53">
        <w:rPr>
          <w:rFonts w:ascii="Arial" w:hAnsi="Arial" w:cs="Arial"/>
          <w:b/>
          <w:sz w:val="20"/>
          <w:szCs w:val="20"/>
        </w:rPr>
        <w:t xml:space="preserve">.  </w:t>
      </w:r>
    </w:p>
    <w:p w:rsidR="00B47036" w:rsidRPr="003E5E53" w:rsidRDefault="003E5E53" w:rsidP="0024001A">
      <w:pPr>
        <w:pStyle w:val="Paragraph"/>
        <w:numPr>
          <w:ilvl w:val="0"/>
          <w:numId w:val="7"/>
        </w:numPr>
        <w:spacing w:before="120" w:after="0" w:line="240" w:lineRule="auto"/>
        <w:rPr>
          <w:rFonts w:ascii="Arial" w:hAnsi="Arial" w:cs="Arial"/>
          <w:b/>
          <w:sz w:val="20"/>
          <w:szCs w:val="20"/>
        </w:rPr>
      </w:pPr>
      <w:r>
        <w:rPr>
          <w:rFonts w:ascii="Arial" w:hAnsi="Arial" w:cs="Arial"/>
          <w:b/>
          <w:sz w:val="20"/>
          <w:szCs w:val="20"/>
        </w:rPr>
        <w:t xml:space="preserve">Ensure </w:t>
      </w:r>
      <w:r w:rsidR="00167E54" w:rsidRPr="003E5E53">
        <w:rPr>
          <w:rFonts w:ascii="Arial" w:hAnsi="Arial" w:cs="Arial"/>
          <w:b/>
          <w:sz w:val="20"/>
          <w:szCs w:val="20"/>
        </w:rPr>
        <w:t xml:space="preserve">OCHA and cluster capacity </w:t>
      </w:r>
      <w:r>
        <w:rPr>
          <w:rFonts w:ascii="Arial" w:hAnsi="Arial" w:cs="Arial"/>
          <w:b/>
          <w:sz w:val="20"/>
          <w:szCs w:val="20"/>
        </w:rPr>
        <w:t>t</w:t>
      </w:r>
      <w:r w:rsidR="00167E54" w:rsidRPr="003E5E53">
        <w:rPr>
          <w:rFonts w:ascii="Arial" w:hAnsi="Arial" w:cs="Arial"/>
          <w:b/>
          <w:sz w:val="20"/>
          <w:szCs w:val="20"/>
        </w:rPr>
        <w:t>o sup</w:t>
      </w:r>
      <w:r>
        <w:rPr>
          <w:rFonts w:ascii="Arial" w:hAnsi="Arial" w:cs="Arial"/>
          <w:b/>
          <w:sz w:val="20"/>
          <w:szCs w:val="20"/>
        </w:rPr>
        <w:t>port the activity costing process as well as the</w:t>
      </w:r>
      <w:r w:rsidRPr="003E5E53">
        <w:rPr>
          <w:rFonts w:ascii="Arial" w:hAnsi="Arial" w:cs="Arial"/>
          <w:b/>
          <w:sz w:val="20"/>
          <w:szCs w:val="20"/>
        </w:rPr>
        <w:t xml:space="preserve"> financial tracking</w:t>
      </w:r>
      <w:r w:rsidR="00167E54" w:rsidRPr="003E5E53">
        <w:rPr>
          <w:rFonts w:ascii="Arial" w:hAnsi="Arial" w:cs="Arial"/>
          <w:b/>
          <w:sz w:val="20"/>
          <w:szCs w:val="20"/>
        </w:rPr>
        <w:t xml:space="preserve">. </w:t>
      </w:r>
    </w:p>
    <w:p w:rsidR="00F613B1" w:rsidRPr="003E5E53" w:rsidRDefault="003E5E53" w:rsidP="0024001A">
      <w:pPr>
        <w:pStyle w:val="Paragraph"/>
        <w:numPr>
          <w:ilvl w:val="0"/>
          <w:numId w:val="7"/>
        </w:numPr>
        <w:spacing w:before="120" w:after="0" w:line="240" w:lineRule="auto"/>
        <w:rPr>
          <w:rFonts w:ascii="Arial" w:hAnsi="Arial" w:cs="Arial"/>
          <w:b/>
          <w:sz w:val="20"/>
          <w:szCs w:val="20"/>
        </w:rPr>
      </w:pPr>
      <w:r>
        <w:rPr>
          <w:rFonts w:ascii="Arial" w:hAnsi="Arial" w:cs="Arial"/>
          <w:b/>
          <w:sz w:val="20"/>
          <w:szCs w:val="20"/>
        </w:rPr>
        <w:t>Consider undertaking de</w:t>
      </w:r>
      <w:r w:rsidR="00C655B3" w:rsidRPr="003E5E53">
        <w:rPr>
          <w:rFonts w:ascii="Arial" w:hAnsi="Arial" w:cs="Arial"/>
          <w:b/>
          <w:sz w:val="20"/>
          <w:szCs w:val="20"/>
        </w:rPr>
        <w:t>ferred project plan</w:t>
      </w:r>
      <w:r w:rsidR="005F7A7E" w:rsidRPr="003E5E53">
        <w:rPr>
          <w:rFonts w:ascii="Arial" w:hAnsi="Arial" w:cs="Arial"/>
          <w:b/>
          <w:sz w:val="20"/>
          <w:szCs w:val="20"/>
        </w:rPr>
        <w:t>ning</w:t>
      </w:r>
      <w:r w:rsidR="00C655B3" w:rsidRPr="003E5E53">
        <w:rPr>
          <w:rFonts w:ascii="Arial" w:hAnsi="Arial" w:cs="Arial"/>
          <w:b/>
          <w:sz w:val="20"/>
          <w:szCs w:val="20"/>
        </w:rPr>
        <w:t xml:space="preserve"> </w:t>
      </w:r>
      <w:r w:rsidR="002E5A86" w:rsidRPr="003E5E53">
        <w:rPr>
          <w:rFonts w:ascii="Arial" w:hAnsi="Arial" w:cs="Arial"/>
          <w:b/>
          <w:sz w:val="20"/>
          <w:szCs w:val="20"/>
        </w:rPr>
        <w:t xml:space="preserve">as an accompaniment </w:t>
      </w:r>
      <w:r w:rsidR="004D7728" w:rsidRPr="003E5E53">
        <w:rPr>
          <w:rFonts w:ascii="Arial" w:hAnsi="Arial" w:cs="Arial"/>
          <w:b/>
          <w:sz w:val="20"/>
          <w:szCs w:val="20"/>
        </w:rPr>
        <w:t>to activity</w:t>
      </w:r>
      <w:r w:rsidR="002E5A86" w:rsidRPr="003E5E53">
        <w:rPr>
          <w:rFonts w:ascii="Arial" w:hAnsi="Arial" w:cs="Arial"/>
          <w:b/>
          <w:sz w:val="20"/>
          <w:szCs w:val="20"/>
        </w:rPr>
        <w:t>-based</w:t>
      </w:r>
      <w:r w:rsidR="004D7728" w:rsidRPr="003E5E53">
        <w:rPr>
          <w:rFonts w:ascii="Arial" w:hAnsi="Arial" w:cs="Arial"/>
          <w:b/>
          <w:sz w:val="20"/>
          <w:szCs w:val="20"/>
        </w:rPr>
        <w:t xml:space="preserve"> costing</w:t>
      </w:r>
      <w:r>
        <w:rPr>
          <w:rFonts w:ascii="Arial" w:hAnsi="Arial" w:cs="Arial"/>
          <w:b/>
          <w:sz w:val="20"/>
          <w:szCs w:val="20"/>
        </w:rPr>
        <w:t>, if feasible</w:t>
      </w:r>
      <w:r w:rsidR="00C655B3" w:rsidRPr="003E5E53">
        <w:rPr>
          <w:rFonts w:ascii="Arial" w:hAnsi="Arial" w:cs="Arial"/>
          <w:b/>
          <w:sz w:val="20"/>
          <w:szCs w:val="20"/>
        </w:rPr>
        <w:t xml:space="preserve">. </w:t>
      </w:r>
      <w:bookmarkStart w:id="2" w:name="_GoBack"/>
      <w:bookmarkEnd w:id="2"/>
    </w:p>
    <w:sectPr w:rsidR="00F613B1" w:rsidRPr="003E5E5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D1" w:rsidRDefault="00C914D1" w:rsidP="003962A3">
      <w:pPr>
        <w:spacing w:after="0" w:line="240" w:lineRule="auto"/>
      </w:pPr>
      <w:r>
        <w:separator/>
      </w:r>
    </w:p>
  </w:endnote>
  <w:endnote w:type="continuationSeparator" w:id="0">
    <w:p w:rsidR="00C914D1" w:rsidRDefault="00C914D1" w:rsidP="0039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21" w:rsidRPr="00A74521" w:rsidRDefault="00A74521">
    <w:pPr>
      <w:pStyle w:val="Footer"/>
      <w:rPr>
        <w:rFonts w:ascii="Arial" w:hAnsi="Arial" w:cs="Arial"/>
        <w:sz w:val="18"/>
        <w:szCs w:val="18"/>
      </w:rPr>
    </w:pPr>
    <w:r w:rsidRPr="00A74521">
      <w:rPr>
        <w:rFonts w:ascii="Arial" w:hAnsi="Arial" w:cs="Arial"/>
        <w:sz w:val="18"/>
        <w:szCs w:val="18"/>
      </w:rPr>
      <w:t>2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D1" w:rsidRDefault="00C914D1" w:rsidP="003962A3">
      <w:pPr>
        <w:spacing w:after="0" w:line="240" w:lineRule="auto"/>
      </w:pPr>
      <w:r>
        <w:separator/>
      </w:r>
    </w:p>
  </w:footnote>
  <w:footnote w:type="continuationSeparator" w:id="0">
    <w:p w:rsidR="00C914D1" w:rsidRDefault="00C914D1" w:rsidP="00396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E5D"/>
    <w:multiLevelType w:val="hybridMultilevel"/>
    <w:tmpl w:val="94E8FDF4"/>
    <w:lvl w:ilvl="0" w:tplc="B8960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6254A"/>
    <w:multiLevelType w:val="hybridMultilevel"/>
    <w:tmpl w:val="B2B44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208F2"/>
    <w:multiLevelType w:val="hybridMultilevel"/>
    <w:tmpl w:val="F3768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DC6431"/>
    <w:multiLevelType w:val="hybridMultilevel"/>
    <w:tmpl w:val="060AE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4D4254"/>
    <w:multiLevelType w:val="hybridMultilevel"/>
    <w:tmpl w:val="C2B88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1F7568"/>
    <w:multiLevelType w:val="hybridMultilevel"/>
    <w:tmpl w:val="B144F846"/>
    <w:lvl w:ilvl="0" w:tplc="B8960B9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807FC"/>
    <w:multiLevelType w:val="hybridMultilevel"/>
    <w:tmpl w:val="0C56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B1"/>
    <w:rsid w:val="000140D5"/>
    <w:rsid w:val="000712D0"/>
    <w:rsid w:val="000B42FB"/>
    <w:rsid w:val="000B57CD"/>
    <w:rsid w:val="000D6E71"/>
    <w:rsid w:val="0010034C"/>
    <w:rsid w:val="001556DD"/>
    <w:rsid w:val="00167E54"/>
    <w:rsid w:val="00194EBC"/>
    <w:rsid w:val="00196C80"/>
    <w:rsid w:val="001A4C81"/>
    <w:rsid w:val="001C495F"/>
    <w:rsid w:val="001E4F7B"/>
    <w:rsid w:val="001E5CB5"/>
    <w:rsid w:val="002018D0"/>
    <w:rsid w:val="00231EAE"/>
    <w:rsid w:val="0024001A"/>
    <w:rsid w:val="002A1B7A"/>
    <w:rsid w:val="002B297B"/>
    <w:rsid w:val="002D3AB7"/>
    <w:rsid w:val="002E5A86"/>
    <w:rsid w:val="0032492E"/>
    <w:rsid w:val="00351E92"/>
    <w:rsid w:val="00392E81"/>
    <w:rsid w:val="0039555C"/>
    <w:rsid w:val="003962A3"/>
    <w:rsid w:val="003E5187"/>
    <w:rsid w:val="003E5E53"/>
    <w:rsid w:val="00400B0A"/>
    <w:rsid w:val="004D7728"/>
    <w:rsid w:val="004E66A0"/>
    <w:rsid w:val="004E7E32"/>
    <w:rsid w:val="00520760"/>
    <w:rsid w:val="00532994"/>
    <w:rsid w:val="00542623"/>
    <w:rsid w:val="0058062E"/>
    <w:rsid w:val="005970D5"/>
    <w:rsid w:val="005E245C"/>
    <w:rsid w:val="005F7A7E"/>
    <w:rsid w:val="00631C4E"/>
    <w:rsid w:val="006802F6"/>
    <w:rsid w:val="006910FF"/>
    <w:rsid w:val="006B1E7B"/>
    <w:rsid w:val="006E4E79"/>
    <w:rsid w:val="00726960"/>
    <w:rsid w:val="007C12DD"/>
    <w:rsid w:val="008B58C0"/>
    <w:rsid w:val="00905173"/>
    <w:rsid w:val="00905C1F"/>
    <w:rsid w:val="0093099D"/>
    <w:rsid w:val="00992CEB"/>
    <w:rsid w:val="00A35F67"/>
    <w:rsid w:val="00A50F03"/>
    <w:rsid w:val="00A71BC6"/>
    <w:rsid w:val="00A74521"/>
    <w:rsid w:val="00A9747C"/>
    <w:rsid w:val="00AA53E4"/>
    <w:rsid w:val="00AD1A46"/>
    <w:rsid w:val="00B47036"/>
    <w:rsid w:val="00BD6BEC"/>
    <w:rsid w:val="00BE63B1"/>
    <w:rsid w:val="00C10F86"/>
    <w:rsid w:val="00C32D20"/>
    <w:rsid w:val="00C60865"/>
    <w:rsid w:val="00C655B3"/>
    <w:rsid w:val="00C914D1"/>
    <w:rsid w:val="00CB16F9"/>
    <w:rsid w:val="00D15A8A"/>
    <w:rsid w:val="00DD7258"/>
    <w:rsid w:val="00DF38B3"/>
    <w:rsid w:val="00E37ADD"/>
    <w:rsid w:val="00E53E94"/>
    <w:rsid w:val="00EC7D2A"/>
    <w:rsid w:val="00F613B1"/>
    <w:rsid w:val="00FA2507"/>
    <w:rsid w:val="00FC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B1"/>
    <w:rPr>
      <w:rFonts w:ascii="Garamond" w:hAnsi="Garamond"/>
      <w:lang w:val="en-US"/>
    </w:rPr>
  </w:style>
  <w:style w:type="paragraph" w:styleId="Heading1">
    <w:name w:val="heading 1"/>
    <w:basedOn w:val="Normal"/>
    <w:next w:val="Normal"/>
    <w:link w:val="Heading1Char"/>
    <w:uiPriority w:val="9"/>
    <w:qFormat/>
    <w:rsid w:val="00C32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3B1"/>
    <w:pPr>
      <w:spacing w:after="0" w:line="240" w:lineRule="auto"/>
    </w:pPr>
    <w:rPr>
      <w:rFonts w:ascii="Garamond" w:hAnsi="Garamon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Spacing"/>
    <w:link w:val="ParagraphChar"/>
    <w:qFormat/>
    <w:rsid w:val="00BE63B1"/>
    <w:pPr>
      <w:spacing w:after="120" w:line="276" w:lineRule="auto"/>
      <w:jc w:val="both"/>
    </w:pPr>
    <w:rPr>
      <w:rFonts w:ascii="Cambria" w:hAnsi="Cambria"/>
      <w:lang w:val="en-GB"/>
    </w:rPr>
  </w:style>
  <w:style w:type="character" w:customStyle="1" w:styleId="ParagraphChar">
    <w:name w:val="Paragraph Char"/>
    <w:basedOn w:val="DefaultParagraphFont"/>
    <w:link w:val="Paragraph"/>
    <w:rsid w:val="00BE63B1"/>
    <w:rPr>
      <w:rFonts w:ascii="Cambria" w:hAnsi="Cambria"/>
    </w:rPr>
  </w:style>
  <w:style w:type="paragraph" w:styleId="NoSpacing">
    <w:name w:val="No Spacing"/>
    <w:uiPriority w:val="1"/>
    <w:qFormat/>
    <w:rsid w:val="00BE63B1"/>
    <w:pPr>
      <w:spacing w:after="0" w:line="240" w:lineRule="auto"/>
    </w:pPr>
    <w:rPr>
      <w:rFonts w:ascii="Garamond" w:hAnsi="Garamond"/>
      <w:lang w:val="en-US"/>
    </w:rPr>
  </w:style>
  <w:style w:type="paragraph" w:styleId="FootnoteText">
    <w:name w:val="footnote text"/>
    <w:basedOn w:val="Normal"/>
    <w:link w:val="FootnoteTextChar"/>
    <w:uiPriority w:val="99"/>
    <w:unhideWhenUsed/>
    <w:rsid w:val="003962A3"/>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3962A3"/>
    <w:rPr>
      <w:sz w:val="20"/>
      <w:szCs w:val="20"/>
    </w:rPr>
  </w:style>
  <w:style w:type="character" w:styleId="FootnoteReference">
    <w:name w:val="footnote reference"/>
    <w:basedOn w:val="DefaultParagraphFont"/>
    <w:uiPriority w:val="99"/>
    <w:semiHidden/>
    <w:unhideWhenUsed/>
    <w:rsid w:val="003962A3"/>
    <w:rPr>
      <w:vertAlign w:val="superscript"/>
    </w:rPr>
  </w:style>
  <w:style w:type="paragraph" w:styleId="BalloonText">
    <w:name w:val="Balloon Text"/>
    <w:basedOn w:val="Normal"/>
    <w:link w:val="BalloonTextChar"/>
    <w:uiPriority w:val="99"/>
    <w:semiHidden/>
    <w:unhideWhenUsed/>
    <w:rsid w:val="0039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A3"/>
    <w:rPr>
      <w:rFonts w:ascii="Tahoma" w:hAnsi="Tahoma" w:cs="Tahoma"/>
      <w:sz w:val="16"/>
      <w:szCs w:val="16"/>
      <w:lang w:val="en-US"/>
    </w:rPr>
  </w:style>
  <w:style w:type="character" w:customStyle="1" w:styleId="Heading1Char">
    <w:name w:val="Heading 1 Char"/>
    <w:basedOn w:val="DefaultParagraphFont"/>
    <w:link w:val="Heading1"/>
    <w:uiPriority w:val="9"/>
    <w:rsid w:val="00C32D20"/>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C32D20"/>
    <w:rPr>
      <w:sz w:val="16"/>
      <w:szCs w:val="16"/>
    </w:rPr>
  </w:style>
  <w:style w:type="paragraph" w:styleId="CommentText">
    <w:name w:val="annotation text"/>
    <w:basedOn w:val="Normal"/>
    <w:link w:val="CommentTextChar"/>
    <w:uiPriority w:val="99"/>
    <w:semiHidden/>
    <w:unhideWhenUsed/>
    <w:rsid w:val="00C32D20"/>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C32D20"/>
    <w:rPr>
      <w:sz w:val="20"/>
      <w:szCs w:val="20"/>
    </w:rPr>
  </w:style>
  <w:style w:type="paragraph" w:styleId="ListParagraph">
    <w:name w:val="List Paragraph"/>
    <w:basedOn w:val="Normal"/>
    <w:uiPriority w:val="34"/>
    <w:qFormat/>
    <w:rsid w:val="00C32D20"/>
    <w:pPr>
      <w:ind w:left="720"/>
      <w:contextualSpacing/>
    </w:pPr>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A35F67"/>
    <w:rPr>
      <w:rFonts w:ascii="Garamond" w:hAnsi="Garamond"/>
      <w:b/>
      <w:bCs/>
      <w:lang w:val="en-US"/>
    </w:rPr>
  </w:style>
  <w:style w:type="character" w:customStyle="1" w:styleId="CommentSubjectChar">
    <w:name w:val="Comment Subject Char"/>
    <w:basedOn w:val="CommentTextChar"/>
    <w:link w:val="CommentSubject"/>
    <w:uiPriority w:val="99"/>
    <w:semiHidden/>
    <w:rsid w:val="00A35F67"/>
    <w:rPr>
      <w:rFonts w:ascii="Garamond" w:hAnsi="Garamond"/>
      <w:b/>
      <w:bCs/>
      <w:sz w:val="20"/>
      <w:szCs w:val="20"/>
      <w:lang w:val="en-US"/>
    </w:rPr>
  </w:style>
  <w:style w:type="paragraph" w:styleId="Header">
    <w:name w:val="header"/>
    <w:basedOn w:val="Normal"/>
    <w:link w:val="HeaderChar"/>
    <w:uiPriority w:val="99"/>
    <w:unhideWhenUsed/>
    <w:rsid w:val="00A7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521"/>
    <w:rPr>
      <w:rFonts w:ascii="Garamond" w:hAnsi="Garamond"/>
      <w:lang w:val="en-US"/>
    </w:rPr>
  </w:style>
  <w:style w:type="paragraph" w:styleId="Footer">
    <w:name w:val="footer"/>
    <w:basedOn w:val="Normal"/>
    <w:link w:val="FooterChar"/>
    <w:uiPriority w:val="99"/>
    <w:unhideWhenUsed/>
    <w:rsid w:val="00A7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521"/>
    <w:rPr>
      <w:rFonts w:ascii="Garamond" w:hAnsi="Garamond"/>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B1"/>
    <w:rPr>
      <w:rFonts w:ascii="Garamond" w:hAnsi="Garamond"/>
      <w:lang w:val="en-US"/>
    </w:rPr>
  </w:style>
  <w:style w:type="paragraph" w:styleId="Heading1">
    <w:name w:val="heading 1"/>
    <w:basedOn w:val="Normal"/>
    <w:next w:val="Normal"/>
    <w:link w:val="Heading1Char"/>
    <w:uiPriority w:val="9"/>
    <w:qFormat/>
    <w:rsid w:val="00C32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3B1"/>
    <w:pPr>
      <w:spacing w:after="0" w:line="240" w:lineRule="auto"/>
    </w:pPr>
    <w:rPr>
      <w:rFonts w:ascii="Garamond" w:hAnsi="Garamon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Spacing"/>
    <w:link w:val="ParagraphChar"/>
    <w:qFormat/>
    <w:rsid w:val="00BE63B1"/>
    <w:pPr>
      <w:spacing w:after="120" w:line="276" w:lineRule="auto"/>
      <w:jc w:val="both"/>
    </w:pPr>
    <w:rPr>
      <w:rFonts w:ascii="Cambria" w:hAnsi="Cambria"/>
      <w:lang w:val="en-GB"/>
    </w:rPr>
  </w:style>
  <w:style w:type="character" w:customStyle="1" w:styleId="ParagraphChar">
    <w:name w:val="Paragraph Char"/>
    <w:basedOn w:val="DefaultParagraphFont"/>
    <w:link w:val="Paragraph"/>
    <w:rsid w:val="00BE63B1"/>
    <w:rPr>
      <w:rFonts w:ascii="Cambria" w:hAnsi="Cambria"/>
    </w:rPr>
  </w:style>
  <w:style w:type="paragraph" w:styleId="NoSpacing">
    <w:name w:val="No Spacing"/>
    <w:uiPriority w:val="1"/>
    <w:qFormat/>
    <w:rsid w:val="00BE63B1"/>
    <w:pPr>
      <w:spacing w:after="0" w:line="240" w:lineRule="auto"/>
    </w:pPr>
    <w:rPr>
      <w:rFonts w:ascii="Garamond" w:hAnsi="Garamond"/>
      <w:lang w:val="en-US"/>
    </w:rPr>
  </w:style>
  <w:style w:type="paragraph" w:styleId="FootnoteText">
    <w:name w:val="footnote text"/>
    <w:basedOn w:val="Normal"/>
    <w:link w:val="FootnoteTextChar"/>
    <w:uiPriority w:val="99"/>
    <w:unhideWhenUsed/>
    <w:rsid w:val="003962A3"/>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3962A3"/>
    <w:rPr>
      <w:sz w:val="20"/>
      <w:szCs w:val="20"/>
    </w:rPr>
  </w:style>
  <w:style w:type="character" w:styleId="FootnoteReference">
    <w:name w:val="footnote reference"/>
    <w:basedOn w:val="DefaultParagraphFont"/>
    <w:uiPriority w:val="99"/>
    <w:semiHidden/>
    <w:unhideWhenUsed/>
    <w:rsid w:val="003962A3"/>
    <w:rPr>
      <w:vertAlign w:val="superscript"/>
    </w:rPr>
  </w:style>
  <w:style w:type="paragraph" w:styleId="BalloonText">
    <w:name w:val="Balloon Text"/>
    <w:basedOn w:val="Normal"/>
    <w:link w:val="BalloonTextChar"/>
    <w:uiPriority w:val="99"/>
    <w:semiHidden/>
    <w:unhideWhenUsed/>
    <w:rsid w:val="0039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A3"/>
    <w:rPr>
      <w:rFonts w:ascii="Tahoma" w:hAnsi="Tahoma" w:cs="Tahoma"/>
      <w:sz w:val="16"/>
      <w:szCs w:val="16"/>
      <w:lang w:val="en-US"/>
    </w:rPr>
  </w:style>
  <w:style w:type="character" w:customStyle="1" w:styleId="Heading1Char">
    <w:name w:val="Heading 1 Char"/>
    <w:basedOn w:val="DefaultParagraphFont"/>
    <w:link w:val="Heading1"/>
    <w:uiPriority w:val="9"/>
    <w:rsid w:val="00C32D20"/>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C32D20"/>
    <w:rPr>
      <w:sz w:val="16"/>
      <w:szCs w:val="16"/>
    </w:rPr>
  </w:style>
  <w:style w:type="paragraph" w:styleId="CommentText">
    <w:name w:val="annotation text"/>
    <w:basedOn w:val="Normal"/>
    <w:link w:val="CommentTextChar"/>
    <w:uiPriority w:val="99"/>
    <w:semiHidden/>
    <w:unhideWhenUsed/>
    <w:rsid w:val="00C32D20"/>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C32D20"/>
    <w:rPr>
      <w:sz w:val="20"/>
      <w:szCs w:val="20"/>
    </w:rPr>
  </w:style>
  <w:style w:type="paragraph" w:styleId="ListParagraph">
    <w:name w:val="List Paragraph"/>
    <w:basedOn w:val="Normal"/>
    <w:uiPriority w:val="34"/>
    <w:qFormat/>
    <w:rsid w:val="00C32D20"/>
    <w:pPr>
      <w:ind w:left="720"/>
      <w:contextualSpacing/>
    </w:pPr>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A35F67"/>
    <w:rPr>
      <w:rFonts w:ascii="Garamond" w:hAnsi="Garamond"/>
      <w:b/>
      <w:bCs/>
      <w:lang w:val="en-US"/>
    </w:rPr>
  </w:style>
  <w:style w:type="character" w:customStyle="1" w:styleId="CommentSubjectChar">
    <w:name w:val="Comment Subject Char"/>
    <w:basedOn w:val="CommentTextChar"/>
    <w:link w:val="CommentSubject"/>
    <w:uiPriority w:val="99"/>
    <w:semiHidden/>
    <w:rsid w:val="00A35F67"/>
    <w:rPr>
      <w:rFonts w:ascii="Garamond" w:hAnsi="Garamond"/>
      <w:b/>
      <w:bCs/>
      <w:sz w:val="20"/>
      <w:szCs w:val="20"/>
      <w:lang w:val="en-US"/>
    </w:rPr>
  </w:style>
  <w:style w:type="paragraph" w:styleId="Header">
    <w:name w:val="header"/>
    <w:basedOn w:val="Normal"/>
    <w:link w:val="HeaderChar"/>
    <w:uiPriority w:val="99"/>
    <w:unhideWhenUsed/>
    <w:rsid w:val="00A7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521"/>
    <w:rPr>
      <w:rFonts w:ascii="Garamond" w:hAnsi="Garamond"/>
      <w:lang w:val="en-US"/>
    </w:rPr>
  </w:style>
  <w:style w:type="paragraph" w:styleId="Footer">
    <w:name w:val="footer"/>
    <w:basedOn w:val="Normal"/>
    <w:link w:val="FooterChar"/>
    <w:uiPriority w:val="99"/>
    <w:unhideWhenUsed/>
    <w:rsid w:val="00A7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521"/>
    <w:rPr>
      <w:rFonts w:ascii="Garamond" w:hAnsi="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7ADE2-0B2B-4328-8E3A-1712560D683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F3F547C-5519-4D5E-A2E7-9CB5A4A1CBB2}">
      <dgm:prSet phldrT="[Text]" custT="1"/>
      <dgm:spPr/>
      <dgm:t>
        <a:bodyPr/>
        <a:lstStyle/>
        <a:p>
          <a:pPr algn="l"/>
          <a:r>
            <a:rPr lang="en-US" sz="900">
              <a:latin typeface="Arial" panose="020B0604020202020204" pitchFamily="34" charset="0"/>
              <a:cs typeface="Arial" panose="020B0604020202020204" pitchFamily="34" charset="0"/>
            </a:rPr>
            <a:t>Strategic/effectiveness gains</a:t>
          </a:r>
        </a:p>
      </dgm:t>
    </dgm:pt>
    <dgm:pt modelId="{AFBB9A68-20AF-4C68-A4DC-C29AC372A1E6}" type="parTrans" cxnId="{1EE4BE8F-0060-46F1-8A92-C82383C10E97}">
      <dgm:prSet/>
      <dgm:spPr/>
      <dgm:t>
        <a:bodyPr/>
        <a:lstStyle/>
        <a:p>
          <a:pPr algn="l"/>
          <a:endParaRPr lang="en-US" sz="900">
            <a:latin typeface="Arial" panose="020B0604020202020204" pitchFamily="34" charset="0"/>
            <a:cs typeface="Arial" panose="020B0604020202020204" pitchFamily="34" charset="0"/>
          </a:endParaRPr>
        </a:p>
      </dgm:t>
    </dgm:pt>
    <dgm:pt modelId="{F5EA2C51-6E18-4CFC-A514-1B1CFBBF68E1}" type="sibTrans" cxnId="{1EE4BE8F-0060-46F1-8A92-C82383C10E97}">
      <dgm:prSet/>
      <dgm:spPr/>
      <dgm:t>
        <a:bodyPr/>
        <a:lstStyle/>
        <a:p>
          <a:pPr algn="l"/>
          <a:endParaRPr lang="en-US" sz="900">
            <a:latin typeface="Arial" panose="020B0604020202020204" pitchFamily="34" charset="0"/>
            <a:cs typeface="Arial" panose="020B0604020202020204" pitchFamily="34" charset="0"/>
          </a:endParaRPr>
        </a:p>
      </dgm:t>
    </dgm:pt>
    <dgm:pt modelId="{4B3FAEA5-6AF8-4319-A203-CD3FCBEC20B3}">
      <dgm:prSet phldrT="[Text]" custT="1"/>
      <dgm:spPr/>
      <dgm:t>
        <a:bodyPr/>
        <a:lstStyle/>
        <a:p>
          <a:pPr algn="l"/>
          <a:r>
            <a:rPr lang="en-GB" sz="900">
              <a:latin typeface="Arial" panose="020B0604020202020204" pitchFamily="34" charset="0"/>
              <a:cs typeface="Arial" panose="020B0604020202020204" pitchFamily="34" charset="0"/>
            </a:rPr>
            <a:t>More cohesive and sector-focused planning and prioritisation</a:t>
          </a:r>
          <a:endParaRPr lang="en-US" sz="900">
            <a:latin typeface="Arial" panose="020B0604020202020204" pitchFamily="34" charset="0"/>
            <a:cs typeface="Arial" panose="020B0604020202020204" pitchFamily="34" charset="0"/>
          </a:endParaRPr>
        </a:p>
      </dgm:t>
    </dgm:pt>
    <dgm:pt modelId="{2369BD5C-BF59-459A-99E4-6EDBA83FAB7F}" type="parTrans" cxnId="{EACFBC43-A9FE-4F8F-A45F-3A2727B2DCF0}">
      <dgm:prSet/>
      <dgm:spPr/>
      <dgm:t>
        <a:bodyPr/>
        <a:lstStyle/>
        <a:p>
          <a:pPr algn="l"/>
          <a:endParaRPr lang="en-US" sz="900">
            <a:latin typeface="Arial" panose="020B0604020202020204" pitchFamily="34" charset="0"/>
            <a:cs typeface="Arial" panose="020B0604020202020204" pitchFamily="34" charset="0"/>
          </a:endParaRPr>
        </a:p>
      </dgm:t>
    </dgm:pt>
    <dgm:pt modelId="{B6AA5107-AE66-4CAA-B9AD-F73855A5299E}" type="sibTrans" cxnId="{EACFBC43-A9FE-4F8F-A45F-3A2727B2DCF0}">
      <dgm:prSet/>
      <dgm:spPr/>
      <dgm:t>
        <a:bodyPr/>
        <a:lstStyle/>
        <a:p>
          <a:pPr algn="l"/>
          <a:endParaRPr lang="en-US" sz="900">
            <a:latin typeface="Arial" panose="020B0604020202020204" pitchFamily="34" charset="0"/>
            <a:cs typeface="Arial" panose="020B0604020202020204" pitchFamily="34" charset="0"/>
          </a:endParaRPr>
        </a:p>
      </dgm:t>
    </dgm:pt>
    <dgm:pt modelId="{D1C13451-E6C2-452C-8421-C6581A270838}">
      <dgm:prSet phldrT="[Text]" custT="1"/>
      <dgm:spPr/>
      <dgm:t>
        <a:bodyPr/>
        <a:lstStyle/>
        <a:p>
          <a:pPr algn="l"/>
          <a:r>
            <a:rPr lang="en-US" sz="900">
              <a:latin typeface="Arial" panose="020B0604020202020204" pitchFamily="34" charset="0"/>
              <a:cs typeface="Arial" panose="020B0604020202020204" pitchFamily="34" charset="0"/>
            </a:rPr>
            <a:t>Coordination/efficiency gains</a:t>
          </a:r>
        </a:p>
      </dgm:t>
    </dgm:pt>
    <dgm:pt modelId="{787A3557-9D0E-42AF-8704-DF836798999B}" type="parTrans" cxnId="{83BCC208-3802-4885-8862-23099DED039B}">
      <dgm:prSet/>
      <dgm:spPr/>
      <dgm:t>
        <a:bodyPr/>
        <a:lstStyle/>
        <a:p>
          <a:pPr algn="l"/>
          <a:endParaRPr lang="en-US" sz="900">
            <a:latin typeface="Arial" panose="020B0604020202020204" pitchFamily="34" charset="0"/>
            <a:cs typeface="Arial" panose="020B0604020202020204" pitchFamily="34" charset="0"/>
          </a:endParaRPr>
        </a:p>
      </dgm:t>
    </dgm:pt>
    <dgm:pt modelId="{EBE92DFA-CE19-4F02-97BA-8993A8C51203}" type="sibTrans" cxnId="{83BCC208-3802-4885-8862-23099DED039B}">
      <dgm:prSet/>
      <dgm:spPr/>
      <dgm:t>
        <a:bodyPr/>
        <a:lstStyle/>
        <a:p>
          <a:pPr algn="l"/>
          <a:endParaRPr lang="en-US" sz="900">
            <a:latin typeface="Arial" panose="020B0604020202020204" pitchFamily="34" charset="0"/>
            <a:cs typeface="Arial" panose="020B0604020202020204" pitchFamily="34" charset="0"/>
          </a:endParaRPr>
        </a:p>
      </dgm:t>
    </dgm:pt>
    <dgm:pt modelId="{ED7550AF-51CD-497E-91F8-8A8B79988C54}">
      <dgm:prSet phldrT="[Text]" custT="1"/>
      <dgm:spPr/>
      <dgm:t>
        <a:bodyPr/>
        <a:lstStyle/>
        <a:p>
          <a:pPr algn="l"/>
          <a:r>
            <a:rPr lang="en-GB" sz="900">
              <a:latin typeface="Arial" panose="020B0604020202020204" pitchFamily="34" charset="0"/>
              <a:cs typeface="Arial" panose="020B0604020202020204" pitchFamily="34" charset="0"/>
            </a:rPr>
            <a:t>Less time pressure and lighter administrative burden</a:t>
          </a:r>
          <a:endParaRPr lang="en-US" sz="900">
            <a:latin typeface="Arial" panose="020B0604020202020204" pitchFamily="34" charset="0"/>
            <a:cs typeface="Arial" panose="020B0604020202020204" pitchFamily="34" charset="0"/>
          </a:endParaRPr>
        </a:p>
      </dgm:t>
    </dgm:pt>
    <dgm:pt modelId="{3978AB82-BFEB-4A4E-9FEF-9DCB75F442C0}" type="parTrans" cxnId="{930A6C50-9DFD-4B72-9490-285A5B85A88B}">
      <dgm:prSet/>
      <dgm:spPr/>
      <dgm:t>
        <a:bodyPr/>
        <a:lstStyle/>
        <a:p>
          <a:pPr algn="l"/>
          <a:endParaRPr lang="en-US" sz="900">
            <a:latin typeface="Arial" panose="020B0604020202020204" pitchFamily="34" charset="0"/>
            <a:cs typeface="Arial" panose="020B0604020202020204" pitchFamily="34" charset="0"/>
          </a:endParaRPr>
        </a:p>
      </dgm:t>
    </dgm:pt>
    <dgm:pt modelId="{AF837BA4-5B75-4AFC-8F9F-20C6944885E9}" type="sibTrans" cxnId="{930A6C50-9DFD-4B72-9490-285A5B85A88B}">
      <dgm:prSet/>
      <dgm:spPr/>
      <dgm:t>
        <a:bodyPr/>
        <a:lstStyle/>
        <a:p>
          <a:pPr algn="l"/>
          <a:endParaRPr lang="en-US" sz="900">
            <a:latin typeface="Arial" panose="020B0604020202020204" pitchFamily="34" charset="0"/>
            <a:cs typeface="Arial" panose="020B0604020202020204" pitchFamily="34" charset="0"/>
          </a:endParaRPr>
        </a:p>
      </dgm:t>
    </dgm:pt>
    <dgm:pt modelId="{75450D80-CD78-478B-8BEC-AB8D2AC090D1}">
      <dgm:prSet phldrT="[Text]" custT="1"/>
      <dgm:spPr/>
      <dgm:t>
        <a:bodyPr/>
        <a:lstStyle/>
        <a:p>
          <a:pPr algn="l"/>
          <a:r>
            <a:rPr lang="en-US" sz="900">
              <a:latin typeface="Arial" panose="020B0604020202020204" pitchFamily="34" charset="0"/>
              <a:cs typeface="Arial" panose="020B0604020202020204" pitchFamily="34" charset="0"/>
            </a:rPr>
            <a:t>A clearer ‘whole picture’ estimate of resource needs, unobscured by multiple projects of different scales and scopes of coverage </a:t>
          </a:r>
        </a:p>
      </dgm:t>
    </dgm:pt>
    <dgm:pt modelId="{6F8DB999-F220-4CC1-9B21-21AC9D760A3F}" type="sibTrans" cxnId="{715FD248-B4DD-4373-B9B5-F9761B1684BD}">
      <dgm:prSet/>
      <dgm:spPr/>
      <dgm:t>
        <a:bodyPr/>
        <a:lstStyle/>
        <a:p>
          <a:pPr algn="l"/>
          <a:endParaRPr lang="en-US" sz="900">
            <a:latin typeface="Arial" panose="020B0604020202020204" pitchFamily="34" charset="0"/>
            <a:cs typeface="Arial" panose="020B0604020202020204" pitchFamily="34" charset="0"/>
          </a:endParaRPr>
        </a:p>
      </dgm:t>
    </dgm:pt>
    <dgm:pt modelId="{4F3F59F6-9A02-4FE6-99BC-87A7265D6DD7}" type="parTrans" cxnId="{715FD248-B4DD-4373-B9B5-F9761B1684BD}">
      <dgm:prSet/>
      <dgm:spPr/>
      <dgm:t>
        <a:bodyPr/>
        <a:lstStyle/>
        <a:p>
          <a:pPr algn="l"/>
          <a:endParaRPr lang="en-US" sz="900">
            <a:latin typeface="Arial" panose="020B0604020202020204" pitchFamily="34" charset="0"/>
            <a:cs typeface="Arial" panose="020B0604020202020204" pitchFamily="34" charset="0"/>
          </a:endParaRPr>
        </a:p>
      </dgm:t>
    </dgm:pt>
    <dgm:pt modelId="{11786513-319B-444E-9E0C-2BCF4EDDCAE5}">
      <dgm:prSet phldrT="[Text]" custT="1"/>
      <dgm:spPr/>
      <dgm:t>
        <a:bodyPr/>
        <a:lstStyle/>
        <a:p>
          <a:pPr algn="l"/>
          <a:r>
            <a:rPr lang="en-US" sz="900">
              <a:latin typeface="Arial" panose="020B0604020202020204" pitchFamily="34" charset="0"/>
              <a:cs typeface="Arial" panose="020B0604020202020204" pitchFamily="34" charset="0"/>
            </a:rPr>
            <a:t>Information/ accountability gains</a:t>
          </a:r>
        </a:p>
      </dgm:t>
    </dgm:pt>
    <dgm:pt modelId="{8C583413-884C-4708-BFA7-E891174CA581}" type="sibTrans" cxnId="{6563B5FE-7E5A-4530-B50C-90EA12A2D4F8}">
      <dgm:prSet/>
      <dgm:spPr/>
      <dgm:t>
        <a:bodyPr/>
        <a:lstStyle/>
        <a:p>
          <a:pPr algn="l"/>
          <a:endParaRPr lang="en-US" sz="900">
            <a:latin typeface="Arial" panose="020B0604020202020204" pitchFamily="34" charset="0"/>
            <a:cs typeface="Arial" panose="020B0604020202020204" pitchFamily="34" charset="0"/>
          </a:endParaRPr>
        </a:p>
      </dgm:t>
    </dgm:pt>
    <dgm:pt modelId="{827BBFA8-1735-4720-B8CF-19DA6080ACFF}" type="parTrans" cxnId="{6563B5FE-7E5A-4530-B50C-90EA12A2D4F8}">
      <dgm:prSet/>
      <dgm:spPr/>
      <dgm:t>
        <a:bodyPr/>
        <a:lstStyle/>
        <a:p>
          <a:pPr algn="l"/>
          <a:endParaRPr lang="en-US" sz="900">
            <a:latin typeface="Arial" panose="020B0604020202020204" pitchFamily="34" charset="0"/>
            <a:cs typeface="Arial" panose="020B0604020202020204" pitchFamily="34" charset="0"/>
          </a:endParaRPr>
        </a:p>
      </dgm:t>
    </dgm:pt>
    <dgm:pt modelId="{FB5A4F35-DF43-48D1-99CC-A6D9FCC936CF}">
      <dgm:prSet phldrT="[Text]" custT="1"/>
      <dgm:spPr/>
      <dgm:t>
        <a:bodyPr/>
        <a:lstStyle/>
        <a:p>
          <a:pPr algn="l"/>
          <a:r>
            <a:rPr lang="en-US" sz="900">
              <a:latin typeface="Arial" panose="020B0604020202020204" pitchFamily="34" charset="0"/>
              <a:cs typeface="Arial" panose="020B0604020202020204" pitchFamily="34" charset="0"/>
            </a:rPr>
            <a:t>Rapid application in sudden-onset crises</a:t>
          </a:r>
        </a:p>
      </dgm:t>
    </dgm:pt>
    <dgm:pt modelId="{55A99C7D-CC41-40EC-83EF-96F6A2E57ED6}" type="parTrans" cxnId="{36CE99D4-3B27-47C3-803B-FCE0BD9EE924}">
      <dgm:prSet/>
      <dgm:spPr/>
      <dgm:t>
        <a:bodyPr/>
        <a:lstStyle/>
        <a:p>
          <a:pPr algn="l"/>
          <a:endParaRPr lang="en-GB" sz="900"/>
        </a:p>
      </dgm:t>
    </dgm:pt>
    <dgm:pt modelId="{9BFA7208-C535-4784-BBCB-B17E8E5B40CB}" type="sibTrans" cxnId="{36CE99D4-3B27-47C3-803B-FCE0BD9EE924}">
      <dgm:prSet/>
      <dgm:spPr/>
      <dgm:t>
        <a:bodyPr/>
        <a:lstStyle/>
        <a:p>
          <a:pPr algn="l"/>
          <a:endParaRPr lang="en-GB" sz="900"/>
        </a:p>
      </dgm:t>
    </dgm:pt>
    <dgm:pt modelId="{7D0111BD-EAD4-4818-BE77-6AD8BAF2C88D}">
      <dgm:prSet phldrT="[Text]" custT="1"/>
      <dgm:spPr/>
      <dgm:t>
        <a:bodyPr/>
        <a:lstStyle/>
        <a:p>
          <a:pPr algn="l"/>
          <a:r>
            <a:rPr lang="en-US" sz="900">
              <a:latin typeface="Arial" panose="020B0604020202020204" pitchFamily="34" charset="0"/>
              <a:cs typeface="Arial" panose="020B0604020202020204" pitchFamily="34" charset="0"/>
            </a:rPr>
            <a:t>Flexibility to allow for changing conditions and responses</a:t>
          </a:r>
        </a:p>
      </dgm:t>
    </dgm:pt>
    <dgm:pt modelId="{AC99DD29-4BD4-4663-B8BE-12694CC3D8D0}" type="parTrans" cxnId="{8E5C8F60-75A0-4BB9-9088-0B9736886A15}">
      <dgm:prSet/>
      <dgm:spPr/>
      <dgm:t>
        <a:bodyPr/>
        <a:lstStyle/>
        <a:p>
          <a:pPr algn="l"/>
          <a:endParaRPr lang="en-GB" sz="900"/>
        </a:p>
      </dgm:t>
    </dgm:pt>
    <dgm:pt modelId="{01BA5BD9-F9BF-4B26-B77B-455703A4822B}" type="sibTrans" cxnId="{8E5C8F60-75A0-4BB9-9088-0B9736886A15}">
      <dgm:prSet/>
      <dgm:spPr/>
      <dgm:t>
        <a:bodyPr/>
        <a:lstStyle/>
        <a:p>
          <a:pPr algn="l"/>
          <a:endParaRPr lang="en-GB" sz="900"/>
        </a:p>
      </dgm:t>
    </dgm:pt>
    <dgm:pt modelId="{C97E05E9-387A-4157-B5D8-BD3958F99BDF}" type="pres">
      <dgm:prSet presAssocID="{BF87ADE2-0B2B-4328-8E3A-1712560D683E}" presName="Name0" presStyleCnt="0">
        <dgm:presLayoutVars>
          <dgm:dir/>
          <dgm:animLvl val="lvl"/>
          <dgm:resizeHandles val="exact"/>
        </dgm:presLayoutVars>
      </dgm:prSet>
      <dgm:spPr/>
      <dgm:t>
        <a:bodyPr/>
        <a:lstStyle/>
        <a:p>
          <a:endParaRPr lang="en-US"/>
        </a:p>
      </dgm:t>
    </dgm:pt>
    <dgm:pt modelId="{BFF203CB-2588-45EF-8897-D118B57D62C7}" type="pres">
      <dgm:prSet presAssocID="{1F3F547C-5519-4D5E-A2E7-9CB5A4A1CBB2}" presName="composite" presStyleCnt="0"/>
      <dgm:spPr/>
    </dgm:pt>
    <dgm:pt modelId="{748A052F-8780-4C00-BEB8-DE455C814202}" type="pres">
      <dgm:prSet presAssocID="{1F3F547C-5519-4D5E-A2E7-9CB5A4A1CBB2}" presName="parTx" presStyleLbl="alignNode1" presStyleIdx="0" presStyleCnt="3">
        <dgm:presLayoutVars>
          <dgm:chMax val="0"/>
          <dgm:chPref val="0"/>
          <dgm:bulletEnabled val="1"/>
        </dgm:presLayoutVars>
      </dgm:prSet>
      <dgm:spPr/>
      <dgm:t>
        <a:bodyPr/>
        <a:lstStyle/>
        <a:p>
          <a:endParaRPr lang="en-US"/>
        </a:p>
      </dgm:t>
    </dgm:pt>
    <dgm:pt modelId="{FC76B955-4D1C-4760-B541-2EB04BC2D873}" type="pres">
      <dgm:prSet presAssocID="{1F3F547C-5519-4D5E-A2E7-9CB5A4A1CBB2}" presName="desTx" presStyleLbl="alignAccFollowNode1" presStyleIdx="0" presStyleCnt="3">
        <dgm:presLayoutVars>
          <dgm:bulletEnabled val="1"/>
        </dgm:presLayoutVars>
      </dgm:prSet>
      <dgm:spPr/>
      <dgm:t>
        <a:bodyPr/>
        <a:lstStyle/>
        <a:p>
          <a:endParaRPr lang="en-US"/>
        </a:p>
      </dgm:t>
    </dgm:pt>
    <dgm:pt modelId="{E4A00106-35FD-46C1-9489-8F7048FA5D25}" type="pres">
      <dgm:prSet presAssocID="{F5EA2C51-6E18-4CFC-A514-1B1CFBBF68E1}" presName="space" presStyleCnt="0"/>
      <dgm:spPr/>
    </dgm:pt>
    <dgm:pt modelId="{38535F83-94E5-4DC1-9B85-42C320A68C25}" type="pres">
      <dgm:prSet presAssocID="{D1C13451-E6C2-452C-8421-C6581A270838}" presName="composite" presStyleCnt="0"/>
      <dgm:spPr/>
    </dgm:pt>
    <dgm:pt modelId="{5D8336E6-5648-4BB7-A3CB-04BC7B38566A}" type="pres">
      <dgm:prSet presAssocID="{D1C13451-E6C2-452C-8421-C6581A270838}" presName="parTx" presStyleLbl="alignNode1" presStyleIdx="1" presStyleCnt="3">
        <dgm:presLayoutVars>
          <dgm:chMax val="0"/>
          <dgm:chPref val="0"/>
          <dgm:bulletEnabled val="1"/>
        </dgm:presLayoutVars>
      </dgm:prSet>
      <dgm:spPr/>
      <dgm:t>
        <a:bodyPr/>
        <a:lstStyle/>
        <a:p>
          <a:endParaRPr lang="en-US"/>
        </a:p>
      </dgm:t>
    </dgm:pt>
    <dgm:pt modelId="{9E10017E-B084-4CD4-83C5-6117FFAC99EB}" type="pres">
      <dgm:prSet presAssocID="{D1C13451-E6C2-452C-8421-C6581A270838}" presName="desTx" presStyleLbl="alignAccFollowNode1" presStyleIdx="1" presStyleCnt="3">
        <dgm:presLayoutVars>
          <dgm:bulletEnabled val="1"/>
        </dgm:presLayoutVars>
      </dgm:prSet>
      <dgm:spPr/>
      <dgm:t>
        <a:bodyPr/>
        <a:lstStyle/>
        <a:p>
          <a:endParaRPr lang="en-US"/>
        </a:p>
      </dgm:t>
    </dgm:pt>
    <dgm:pt modelId="{3CBC45C8-8267-468D-8676-FB0D57458D02}" type="pres">
      <dgm:prSet presAssocID="{EBE92DFA-CE19-4F02-97BA-8993A8C51203}" presName="space" presStyleCnt="0"/>
      <dgm:spPr/>
    </dgm:pt>
    <dgm:pt modelId="{FA4E218D-1128-4DE6-9503-A78C5EB9C4CC}" type="pres">
      <dgm:prSet presAssocID="{11786513-319B-444E-9E0C-2BCF4EDDCAE5}" presName="composite" presStyleCnt="0"/>
      <dgm:spPr/>
    </dgm:pt>
    <dgm:pt modelId="{8B5FC732-705B-471E-B335-CC31E714CD95}" type="pres">
      <dgm:prSet presAssocID="{11786513-319B-444E-9E0C-2BCF4EDDCAE5}" presName="parTx" presStyleLbl="alignNode1" presStyleIdx="2" presStyleCnt="3">
        <dgm:presLayoutVars>
          <dgm:chMax val="0"/>
          <dgm:chPref val="0"/>
          <dgm:bulletEnabled val="1"/>
        </dgm:presLayoutVars>
      </dgm:prSet>
      <dgm:spPr/>
      <dgm:t>
        <a:bodyPr/>
        <a:lstStyle/>
        <a:p>
          <a:endParaRPr lang="en-US"/>
        </a:p>
      </dgm:t>
    </dgm:pt>
    <dgm:pt modelId="{6D0A19B2-CBFF-4C39-A102-C841AEF25DC1}" type="pres">
      <dgm:prSet presAssocID="{11786513-319B-444E-9E0C-2BCF4EDDCAE5}" presName="desTx" presStyleLbl="alignAccFollowNode1" presStyleIdx="2" presStyleCnt="3">
        <dgm:presLayoutVars>
          <dgm:bulletEnabled val="1"/>
        </dgm:presLayoutVars>
      </dgm:prSet>
      <dgm:spPr/>
      <dgm:t>
        <a:bodyPr/>
        <a:lstStyle/>
        <a:p>
          <a:endParaRPr lang="en-US"/>
        </a:p>
      </dgm:t>
    </dgm:pt>
  </dgm:ptLst>
  <dgm:cxnLst>
    <dgm:cxn modelId="{1EE4BE8F-0060-46F1-8A92-C82383C10E97}" srcId="{BF87ADE2-0B2B-4328-8E3A-1712560D683E}" destId="{1F3F547C-5519-4D5E-A2E7-9CB5A4A1CBB2}" srcOrd="0" destOrd="0" parTransId="{AFBB9A68-20AF-4C68-A4DC-C29AC372A1E6}" sibTransId="{F5EA2C51-6E18-4CFC-A514-1B1CFBBF68E1}"/>
    <dgm:cxn modelId="{D41B175E-BA5C-4D01-B585-D4F107F04C55}" type="presOf" srcId="{11786513-319B-444E-9E0C-2BCF4EDDCAE5}" destId="{8B5FC732-705B-471E-B335-CC31E714CD95}" srcOrd="0" destOrd="0" presId="urn:microsoft.com/office/officeart/2005/8/layout/hList1"/>
    <dgm:cxn modelId="{83BCC208-3802-4885-8862-23099DED039B}" srcId="{BF87ADE2-0B2B-4328-8E3A-1712560D683E}" destId="{D1C13451-E6C2-452C-8421-C6581A270838}" srcOrd="1" destOrd="0" parTransId="{787A3557-9D0E-42AF-8704-DF836798999B}" sibTransId="{EBE92DFA-CE19-4F02-97BA-8993A8C51203}"/>
    <dgm:cxn modelId="{E453D755-1C82-4361-A969-F09480C83577}" type="presOf" srcId="{1F3F547C-5519-4D5E-A2E7-9CB5A4A1CBB2}" destId="{748A052F-8780-4C00-BEB8-DE455C814202}" srcOrd="0" destOrd="0" presId="urn:microsoft.com/office/officeart/2005/8/layout/hList1"/>
    <dgm:cxn modelId="{A3941146-7BC8-439F-9077-71B650B857EC}" type="presOf" srcId="{FB5A4F35-DF43-48D1-99CC-A6D9FCC936CF}" destId="{FC76B955-4D1C-4760-B541-2EB04BC2D873}" srcOrd="0" destOrd="1" presId="urn:microsoft.com/office/officeart/2005/8/layout/hList1"/>
    <dgm:cxn modelId="{930A6C50-9DFD-4B72-9490-285A5B85A88B}" srcId="{D1C13451-E6C2-452C-8421-C6581A270838}" destId="{ED7550AF-51CD-497E-91F8-8A8B79988C54}" srcOrd="0" destOrd="0" parTransId="{3978AB82-BFEB-4A4E-9FEF-9DCB75F442C0}" sibTransId="{AF837BA4-5B75-4AFC-8F9F-20C6944885E9}"/>
    <dgm:cxn modelId="{CC4D6680-BB72-4EA4-B028-D297C174F050}" type="presOf" srcId="{4B3FAEA5-6AF8-4319-A203-CD3FCBEC20B3}" destId="{FC76B955-4D1C-4760-B541-2EB04BC2D873}" srcOrd="0" destOrd="0" presId="urn:microsoft.com/office/officeart/2005/8/layout/hList1"/>
    <dgm:cxn modelId="{EACFBC43-A9FE-4F8F-A45F-3A2727B2DCF0}" srcId="{1F3F547C-5519-4D5E-A2E7-9CB5A4A1CBB2}" destId="{4B3FAEA5-6AF8-4319-A203-CD3FCBEC20B3}" srcOrd="0" destOrd="0" parTransId="{2369BD5C-BF59-459A-99E4-6EDBA83FAB7F}" sibTransId="{B6AA5107-AE66-4CAA-B9AD-F73855A5299E}"/>
    <dgm:cxn modelId="{41524534-E318-4A2F-84ED-5143A9C6B30C}" type="presOf" srcId="{75450D80-CD78-478B-8BEC-AB8D2AC090D1}" destId="{6D0A19B2-CBFF-4C39-A102-C841AEF25DC1}" srcOrd="0" destOrd="0" presId="urn:microsoft.com/office/officeart/2005/8/layout/hList1"/>
    <dgm:cxn modelId="{1946B606-C4A6-43FB-B861-4D001B8EABCB}" type="presOf" srcId="{7D0111BD-EAD4-4818-BE77-6AD8BAF2C88D}" destId="{9E10017E-B084-4CD4-83C5-6117FFAC99EB}" srcOrd="0" destOrd="1" presId="urn:microsoft.com/office/officeart/2005/8/layout/hList1"/>
    <dgm:cxn modelId="{715FD248-B4DD-4373-B9B5-F9761B1684BD}" srcId="{11786513-319B-444E-9E0C-2BCF4EDDCAE5}" destId="{75450D80-CD78-478B-8BEC-AB8D2AC090D1}" srcOrd="0" destOrd="0" parTransId="{4F3F59F6-9A02-4FE6-99BC-87A7265D6DD7}" sibTransId="{6F8DB999-F220-4CC1-9B21-21AC9D760A3F}"/>
    <dgm:cxn modelId="{909F3ABE-B9ED-434E-AE5A-E1D836070446}" type="presOf" srcId="{BF87ADE2-0B2B-4328-8E3A-1712560D683E}" destId="{C97E05E9-387A-4157-B5D8-BD3958F99BDF}" srcOrd="0" destOrd="0" presId="urn:microsoft.com/office/officeart/2005/8/layout/hList1"/>
    <dgm:cxn modelId="{8E5C8F60-75A0-4BB9-9088-0B9736886A15}" srcId="{D1C13451-E6C2-452C-8421-C6581A270838}" destId="{7D0111BD-EAD4-4818-BE77-6AD8BAF2C88D}" srcOrd="1" destOrd="0" parTransId="{AC99DD29-4BD4-4663-B8BE-12694CC3D8D0}" sibTransId="{01BA5BD9-F9BF-4B26-B77B-455703A4822B}"/>
    <dgm:cxn modelId="{49FDBE1C-B047-46EC-9018-31EF00422B6B}" type="presOf" srcId="{D1C13451-E6C2-452C-8421-C6581A270838}" destId="{5D8336E6-5648-4BB7-A3CB-04BC7B38566A}" srcOrd="0" destOrd="0" presId="urn:microsoft.com/office/officeart/2005/8/layout/hList1"/>
    <dgm:cxn modelId="{0A0F224E-30EA-4C4D-9E9C-A6EE53DD641F}" type="presOf" srcId="{ED7550AF-51CD-497E-91F8-8A8B79988C54}" destId="{9E10017E-B084-4CD4-83C5-6117FFAC99EB}" srcOrd="0" destOrd="0" presId="urn:microsoft.com/office/officeart/2005/8/layout/hList1"/>
    <dgm:cxn modelId="{6563B5FE-7E5A-4530-B50C-90EA12A2D4F8}" srcId="{BF87ADE2-0B2B-4328-8E3A-1712560D683E}" destId="{11786513-319B-444E-9E0C-2BCF4EDDCAE5}" srcOrd="2" destOrd="0" parTransId="{827BBFA8-1735-4720-B8CF-19DA6080ACFF}" sibTransId="{8C583413-884C-4708-BFA7-E891174CA581}"/>
    <dgm:cxn modelId="{36CE99D4-3B27-47C3-803B-FCE0BD9EE924}" srcId="{1F3F547C-5519-4D5E-A2E7-9CB5A4A1CBB2}" destId="{FB5A4F35-DF43-48D1-99CC-A6D9FCC936CF}" srcOrd="1" destOrd="0" parTransId="{55A99C7D-CC41-40EC-83EF-96F6A2E57ED6}" sibTransId="{9BFA7208-C535-4784-BBCB-B17E8E5B40CB}"/>
    <dgm:cxn modelId="{38DB739B-415A-4342-9D60-7538BEF218F4}" type="presParOf" srcId="{C97E05E9-387A-4157-B5D8-BD3958F99BDF}" destId="{BFF203CB-2588-45EF-8897-D118B57D62C7}" srcOrd="0" destOrd="0" presId="urn:microsoft.com/office/officeart/2005/8/layout/hList1"/>
    <dgm:cxn modelId="{C86CAAB7-7E5A-48C6-8747-7BE490310B27}" type="presParOf" srcId="{BFF203CB-2588-45EF-8897-D118B57D62C7}" destId="{748A052F-8780-4C00-BEB8-DE455C814202}" srcOrd="0" destOrd="0" presId="urn:microsoft.com/office/officeart/2005/8/layout/hList1"/>
    <dgm:cxn modelId="{886177C6-FC67-4005-BE69-5F2412360E72}" type="presParOf" srcId="{BFF203CB-2588-45EF-8897-D118B57D62C7}" destId="{FC76B955-4D1C-4760-B541-2EB04BC2D873}" srcOrd="1" destOrd="0" presId="urn:microsoft.com/office/officeart/2005/8/layout/hList1"/>
    <dgm:cxn modelId="{412BFC15-5358-454F-9D9F-4400B1AAA609}" type="presParOf" srcId="{C97E05E9-387A-4157-B5D8-BD3958F99BDF}" destId="{E4A00106-35FD-46C1-9489-8F7048FA5D25}" srcOrd="1" destOrd="0" presId="urn:microsoft.com/office/officeart/2005/8/layout/hList1"/>
    <dgm:cxn modelId="{9C8B2C3E-E6DF-45DC-B59D-6D04C8F45109}" type="presParOf" srcId="{C97E05E9-387A-4157-B5D8-BD3958F99BDF}" destId="{38535F83-94E5-4DC1-9B85-42C320A68C25}" srcOrd="2" destOrd="0" presId="urn:microsoft.com/office/officeart/2005/8/layout/hList1"/>
    <dgm:cxn modelId="{19D72BF2-C288-4D0A-A1F9-E57AE9D81BE6}" type="presParOf" srcId="{38535F83-94E5-4DC1-9B85-42C320A68C25}" destId="{5D8336E6-5648-4BB7-A3CB-04BC7B38566A}" srcOrd="0" destOrd="0" presId="urn:microsoft.com/office/officeart/2005/8/layout/hList1"/>
    <dgm:cxn modelId="{C5A23642-2E33-464A-BB8E-955E067A7307}" type="presParOf" srcId="{38535F83-94E5-4DC1-9B85-42C320A68C25}" destId="{9E10017E-B084-4CD4-83C5-6117FFAC99EB}" srcOrd="1" destOrd="0" presId="urn:microsoft.com/office/officeart/2005/8/layout/hList1"/>
    <dgm:cxn modelId="{247DC87B-6FC3-46C1-B3C6-C10568659DA3}" type="presParOf" srcId="{C97E05E9-387A-4157-B5D8-BD3958F99BDF}" destId="{3CBC45C8-8267-468D-8676-FB0D57458D02}" srcOrd="3" destOrd="0" presId="urn:microsoft.com/office/officeart/2005/8/layout/hList1"/>
    <dgm:cxn modelId="{84F66063-5149-4923-A018-78F264512F04}" type="presParOf" srcId="{C97E05E9-387A-4157-B5D8-BD3958F99BDF}" destId="{FA4E218D-1128-4DE6-9503-A78C5EB9C4CC}" srcOrd="4" destOrd="0" presId="urn:microsoft.com/office/officeart/2005/8/layout/hList1"/>
    <dgm:cxn modelId="{BA26B3BC-ADDD-478C-8372-055B32E2D352}" type="presParOf" srcId="{FA4E218D-1128-4DE6-9503-A78C5EB9C4CC}" destId="{8B5FC732-705B-471E-B335-CC31E714CD95}" srcOrd="0" destOrd="0" presId="urn:microsoft.com/office/officeart/2005/8/layout/hList1"/>
    <dgm:cxn modelId="{27F85670-8103-4573-83F3-BF856D72D0A2}" type="presParOf" srcId="{FA4E218D-1128-4DE6-9503-A78C5EB9C4CC}" destId="{6D0A19B2-CBFF-4C39-A102-C841AEF25DC1}"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7ADE2-0B2B-4328-8E3A-1712560D683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F3F547C-5519-4D5E-A2E7-9CB5A4A1CBB2}">
      <dgm:prSet phldrT="[Text]" custT="1"/>
      <dgm:spPr/>
      <dgm:t>
        <a:bodyPr/>
        <a:lstStyle/>
        <a:p>
          <a:r>
            <a:rPr lang="en-US" sz="900">
              <a:latin typeface="Arial" panose="020B0604020202020204" pitchFamily="34" charset="0"/>
              <a:cs typeface="Arial" panose="020B0604020202020204" pitchFamily="34" charset="0"/>
            </a:rPr>
            <a:t>Quality/effectiveness losses</a:t>
          </a:r>
        </a:p>
      </dgm:t>
    </dgm:pt>
    <dgm:pt modelId="{AFBB9A68-20AF-4C68-A4DC-C29AC372A1E6}" type="parTrans" cxnId="{1EE4BE8F-0060-46F1-8A92-C82383C10E97}">
      <dgm:prSet/>
      <dgm:spPr/>
      <dgm:t>
        <a:bodyPr/>
        <a:lstStyle/>
        <a:p>
          <a:endParaRPr lang="en-US" sz="900">
            <a:latin typeface="Arial" panose="020B0604020202020204" pitchFamily="34" charset="0"/>
            <a:cs typeface="Arial" panose="020B0604020202020204" pitchFamily="34" charset="0"/>
          </a:endParaRPr>
        </a:p>
      </dgm:t>
    </dgm:pt>
    <dgm:pt modelId="{F5EA2C51-6E18-4CFC-A514-1B1CFBBF68E1}" type="sibTrans" cxnId="{1EE4BE8F-0060-46F1-8A92-C82383C10E97}">
      <dgm:prSet/>
      <dgm:spPr/>
      <dgm:t>
        <a:bodyPr/>
        <a:lstStyle/>
        <a:p>
          <a:endParaRPr lang="en-US" sz="900">
            <a:latin typeface="Arial" panose="020B0604020202020204" pitchFamily="34" charset="0"/>
            <a:cs typeface="Arial" panose="020B0604020202020204" pitchFamily="34" charset="0"/>
          </a:endParaRPr>
        </a:p>
      </dgm:t>
    </dgm:pt>
    <dgm:pt modelId="{4B3FAEA5-6AF8-4319-A203-CD3FCBEC20B3}">
      <dgm:prSet phldrT="[Text]" custT="1"/>
      <dgm:spPr/>
      <dgm:t>
        <a:bodyPr/>
        <a:lstStyle/>
        <a:p>
          <a:r>
            <a:rPr lang="en-GB" sz="900">
              <a:latin typeface="Arial" panose="020B0604020202020204" pitchFamily="34" charset="0"/>
              <a:cs typeface="Arial" panose="020B0604020202020204" pitchFamily="34" charset="0"/>
            </a:rPr>
            <a:t>Weaker quality control with loss of project review/vetting in the planning phase</a:t>
          </a:r>
          <a:endParaRPr lang="en-US" sz="900">
            <a:latin typeface="Arial" panose="020B0604020202020204" pitchFamily="34" charset="0"/>
            <a:cs typeface="Arial" panose="020B0604020202020204" pitchFamily="34" charset="0"/>
          </a:endParaRPr>
        </a:p>
      </dgm:t>
    </dgm:pt>
    <dgm:pt modelId="{2369BD5C-BF59-459A-99E4-6EDBA83FAB7F}" type="parTrans" cxnId="{EACFBC43-A9FE-4F8F-A45F-3A2727B2DCF0}">
      <dgm:prSet/>
      <dgm:spPr/>
      <dgm:t>
        <a:bodyPr/>
        <a:lstStyle/>
        <a:p>
          <a:endParaRPr lang="en-US" sz="900">
            <a:latin typeface="Arial" panose="020B0604020202020204" pitchFamily="34" charset="0"/>
            <a:cs typeface="Arial" panose="020B0604020202020204" pitchFamily="34" charset="0"/>
          </a:endParaRPr>
        </a:p>
      </dgm:t>
    </dgm:pt>
    <dgm:pt modelId="{B6AA5107-AE66-4CAA-B9AD-F73855A5299E}" type="sibTrans" cxnId="{EACFBC43-A9FE-4F8F-A45F-3A2727B2DCF0}">
      <dgm:prSet/>
      <dgm:spPr/>
      <dgm:t>
        <a:bodyPr/>
        <a:lstStyle/>
        <a:p>
          <a:endParaRPr lang="en-US" sz="900">
            <a:latin typeface="Arial" panose="020B0604020202020204" pitchFamily="34" charset="0"/>
            <a:cs typeface="Arial" panose="020B0604020202020204" pitchFamily="34" charset="0"/>
          </a:endParaRPr>
        </a:p>
      </dgm:t>
    </dgm:pt>
    <dgm:pt modelId="{D1C13451-E6C2-452C-8421-C6581A270838}">
      <dgm:prSet phldrT="[Text]" custT="1"/>
      <dgm:spPr/>
      <dgm:t>
        <a:bodyPr/>
        <a:lstStyle/>
        <a:p>
          <a:r>
            <a:rPr lang="en-US" sz="900">
              <a:latin typeface="Arial" panose="020B0604020202020204" pitchFamily="34" charset="0"/>
              <a:cs typeface="Arial" panose="020B0604020202020204" pitchFamily="34" charset="0"/>
            </a:rPr>
            <a:t>Coordination/ participation losses</a:t>
          </a:r>
        </a:p>
      </dgm:t>
    </dgm:pt>
    <dgm:pt modelId="{787A3557-9D0E-42AF-8704-DF836798999B}" type="parTrans" cxnId="{83BCC208-3802-4885-8862-23099DED039B}">
      <dgm:prSet/>
      <dgm:spPr/>
      <dgm:t>
        <a:bodyPr/>
        <a:lstStyle/>
        <a:p>
          <a:endParaRPr lang="en-US" sz="900">
            <a:latin typeface="Arial" panose="020B0604020202020204" pitchFamily="34" charset="0"/>
            <a:cs typeface="Arial" panose="020B0604020202020204" pitchFamily="34" charset="0"/>
          </a:endParaRPr>
        </a:p>
      </dgm:t>
    </dgm:pt>
    <dgm:pt modelId="{EBE92DFA-CE19-4F02-97BA-8993A8C51203}" type="sibTrans" cxnId="{83BCC208-3802-4885-8862-23099DED039B}">
      <dgm:prSet/>
      <dgm:spPr/>
      <dgm:t>
        <a:bodyPr/>
        <a:lstStyle/>
        <a:p>
          <a:endParaRPr lang="en-US" sz="900">
            <a:latin typeface="Arial" panose="020B0604020202020204" pitchFamily="34" charset="0"/>
            <a:cs typeface="Arial" panose="020B0604020202020204" pitchFamily="34" charset="0"/>
          </a:endParaRPr>
        </a:p>
      </dgm:t>
    </dgm:pt>
    <dgm:pt modelId="{ED7550AF-51CD-497E-91F8-8A8B79988C54}">
      <dgm:prSet phldrT="[Text]" custT="1"/>
      <dgm:spPr/>
      <dgm:t>
        <a:bodyPr/>
        <a:lstStyle/>
        <a:p>
          <a:r>
            <a:rPr lang="en-US" sz="900">
              <a:latin typeface="Arial" panose="020B0604020202020204" pitchFamily="34" charset="0"/>
              <a:cs typeface="Arial" panose="020B0604020202020204" pitchFamily="34" charset="0"/>
            </a:rPr>
            <a:t>Less government engagement in cluster planning process</a:t>
          </a:r>
        </a:p>
      </dgm:t>
    </dgm:pt>
    <dgm:pt modelId="{3978AB82-BFEB-4A4E-9FEF-9DCB75F442C0}" type="parTrans" cxnId="{930A6C50-9DFD-4B72-9490-285A5B85A88B}">
      <dgm:prSet/>
      <dgm:spPr/>
      <dgm:t>
        <a:bodyPr/>
        <a:lstStyle/>
        <a:p>
          <a:endParaRPr lang="en-US" sz="900">
            <a:latin typeface="Arial" panose="020B0604020202020204" pitchFamily="34" charset="0"/>
            <a:cs typeface="Arial" panose="020B0604020202020204" pitchFamily="34" charset="0"/>
          </a:endParaRPr>
        </a:p>
      </dgm:t>
    </dgm:pt>
    <dgm:pt modelId="{AF837BA4-5B75-4AFC-8F9F-20C6944885E9}" type="sibTrans" cxnId="{930A6C50-9DFD-4B72-9490-285A5B85A88B}">
      <dgm:prSet/>
      <dgm:spPr/>
      <dgm:t>
        <a:bodyPr/>
        <a:lstStyle/>
        <a:p>
          <a:endParaRPr lang="en-US" sz="900">
            <a:latin typeface="Arial" panose="020B0604020202020204" pitchFamily="34" charset="0"/>
            <a:cs typeface="Arial" panose="020B0604020202020204" pitchFamily="34" charset="0"/>
          </a:endParaRPr>
        </a:p>
      </dgm:t>
    </dgm:pt>
    <dgm:pt modelId="{75450D80-CD78-478B-8BEC-AB8D2AC090D1}">
      <dgm:prSet phldrT="[Text]" custT="1"/>
      <dgm:spPr/>
      <dgm:t>
        <a:bodyPr/>
        <a:lstStyle/>
        <a:p>
          <a:r>
            <a:rPr lang="en-GB" sz="900">
              <a:latin typeface="Arial" panose="020B0604020202020204" pitchFamily="34" charset="0"/>
              <a:cs typeface="Arial" panose="020B0604020202020204" pitchFamily="34" charset="0"/>
            </a:rPr>
            <a:t>Less transparency, if projects are not later listed in FTS/OPS (and a lack of incentive to do so if funding is received prior to project submissions)</a:t>
          </a:r>
          <a:endParaRPr lang="en-US" sz="900">
            <a:latin typeface="Arial" panose="020B0604020202020204" pitchFamily="34" charset="0"/>
            <a:cs typeface="Arial" panose="020B0604020202020204" pitchFamily="34" charset="0"/>
          </a:endParaRPr>
        </a:p>
      </dgm:t>
    </dgm:pt>
    <dgm:pt modelId="{6F8DB999-F220-4CC1-9B21-21AC9D760A3F}" type="sibTrans" cxnId="{715FD248-B4DD-4373-B9B5-F9761B1684BD}">
      <dgm:prSet/>
      <dgm:spPr/>
      <dgm:t>
        <a:bodyPr/>
        <a:lstStyle/>
        <a:p>
          <a:endParaRPr lang="en-US" sz="900">
            <a:latin typeface="Arial" panose="020B0604020202020204" pitchFamily="34" charset="0"/>
            <a:cs typeface="Arial" panose="020B0604020202020204" pitchFamily="34" charset="0"/>
          </a:endParaRPr>
        </a:p>
      </dgm:t>
    </dgm:pt>
    <dgm:pt modelId="{4F3F59F6-9A02-4FE6-99BC-87A7265D6DD7}" type="parTrans" cxnId="{715FD248-B4DD-4373-B9B5-F9761B1684BD}">
      <dgm:prSet/>
      <dgm:spPr/>
      <dgm:t>
        <a:bodyPr/>
        <a:lstStyle/>
        <a:p>
          <a:endParaRPr lang="en-US" sz="900">
            <a:latin typeface="Arial" panose="020B0604020202020204" pitchFamily="34" charset="0"/>
            <a:cs typeface="Arial" panose="020B0604020202020204" pitchFamily="34" charset="0"/>
          </a:endParaRPr>
        </a:p>
      </dgm:t>
    </dgm:pt>
    <dgm:pt modelId="{11786513-319B-444E-9E0C-2BCF4EDDCAE5}">
      <dgm:prSet phldrT="[Text]" custT="1"/>
      <dgm:spPr/>
      <dgm:t>
        <a:bodyPr/>
        <a:lstStyle/>
        <a:p>
          <a:r>
            <a:rPr lang="en-US" sz="900">
              <a:latin typeface="Arial" panose="020B0604020202020204" pitchFamily="34" charset="0"/>
              <a:cs typeface="Arial" panose="020B0604020202020204" pitchFamily="34" charset="0"/>
            </a:rPr>
            <a:t>Information/ accountability losses</a:t>
          </a:r>
        </a:p>
      </dgm:t>
    </dgm:pt>
    <dgm:pt modelId="{8C583413-884C-4708-BFA7-E891174CA581}" type="sibTrans" cxnId="{6563B5FE-7E5A-4530-B50C-90EA12A2D4F8}">
      <dgm:prSet/>
      <dgm:spPr/>
      <dgm:t>
        <a:bodyPr/>
        <a:lstStyle/>
        <a:p>
          <a:endParaRPr lang="en-US" sz="900">
            <a:latin typeface="Arial" panose="020B0604020202020204" pitchFamily="34" charset="0"/>
            <a:cs typeface="Arial" panose="020B0604020202020204" pitchFamily="34" charset="0"/>
          </a:endParaRPr>
        </a:p>
      </dgm:t>
    </dgm:pt>
    <dgm:pt modelId="{827BBFA8-1735-4720-B8CF-19DA6080ACFF}" type="parTrans" cxnId="{6563B5FE-7E5A-4530-B50C-90EA12A2D4F8}">
      <dgm:prSet/>
      <dgm:spPr/>
      <dgm:t>
        <a:bodyPr/>
        <a:lstStyle/>
        <a:p>
          <a:endParaRPr lang="en-US" sz="900">
            <a:latin typeface="Arial" panose="020B0604020202020204" pitchFamily="34" charset="0"/>
            <a:cs typeface="Arial" panose="020B0604020202020204" pitchFamily="34" charset="0"/>
          </a:endParaRPr>
        </a:p>
      </dgm:t>
    </dgm:pt>
    <dgm:pt modelId="{5AAF90D3-0A0A-4445-BE66-1049931E0528}">
      <dgm:prSet phldrT="[Text]" custT="1"/>
      <dgm:spPr/>
      <dgm:t>
        <a:bodyPr/>
        <a:lstStyle/>
        <a:p>
          <a:r>
            <a:rPr lang="en-GB" sz="900">
              <a:latin typeface="Arial" panose="020B0604020202020204" pitchFamily="34" charset="0"/>
              <a:cs typeface="Arial" panose="020B0604020202020204" pitchFamily="34" charset="0"/>
            </a:rPr>
            <a:t>Loss of project-related quality assurance tools such as the gender marker</a:t>
          </a:r>
          <a:endParaRPr lang="en-US" sz="900">
            <a:latin typeface="Arial" panose="020B0604020202020204" pitchFamily="34" charset="0"/>
            <a:cs typeface="Arial" panose="020B0604020202020204" pitchFamily="34" charset="0"/>
          </a:endParaRPr>
        </a:p>
      </dgm:t>
    </dgm:pt>
    <dgm:pt modelId="{23B83B92-80FB-4B57-B8B1-451E092EDCB4}" type="parTrans" cxnId="{274DF573-FD3B-4F61-B0D2-950C6044EDB6}">
      <dgm:prSet/>
      <dgm:spPr/>
      <dgm:t>
        <a:bodyPr/>
        <a:lstStyle/>
        <a:p>
          <a:endParaRPr lang="en-US" sz="900">
            <a:latin typeface="Arial" panose="020B0604020202020204" pitchFamily="34" charset="0"/>
            <a:cs typeface="Arial" panose="020B0604020202020204" pitchFamily="34" charset="0"/>
          </a:endParaRPr>
        </a:p>
      </dgm:t>
    </dgm:pt>
    <dgm:pt modelId="{C60FFBC4-3897-4B99-A708-839ED0BCF19C}" type="sibTrans" cxnId="{274DF573-FD3B-4F61-B0D2-950C6044EDB6}">
      <dgm:prSet/>
      <dgm:spPr/>
      <dgm:t>
        <a:bodyPr/>
        <a:lstStyle/>
        <a:p>
          <a:endParaRPr lang="en-US" sz="900">
            <a:latin typeface="Arial" panose="020B0604020202020204" pitchFamily="34" charset="0"/>
            <a:cs typeface="Arial" panose="020B0604020202020204" pitchFamily="34" charset="0"/>
          </a:endParaRPr>
        </a:p>
      </dgm:t>
    </dgm:pt>
    <dgm:pt modelId="{31B26A85-AB32-4F70-AC08-47212A352C71}">
      <dgm:prSet phldrT="[Text]" custT="1"/>
      <dgm:spPr/>
      <dgm:t>
        <a:bodyPr/>
        <a:lstStyle/>
        <a:p>
          <a:r>
            <a:rPr lang="en-US" sz="900">
              <a:latin typeface="Arial" panose="020B0604020202020204" pitchFamily="34" charset="0"/>
              <a:cs typeface="Arial" panose="020B0604020202020204" pitchFamily="34" charset="0"/>
            </a:rPr>
            <a:t>Loss of NGO visibility, threatening equal opportunity to donor funding</a:t>
          </a:r>
        </a:p>
      </dgm:t>
    </dgm:pt>
    <dgm:pt modelId="{79C8860C-532E-4FBC-A168-029EF54DCD02}" type="parTrans" cxnId="{DDB59B5E-F833-4DB6-96CC-C475E98D3807}">
      <dgm:prSet/>
      <dgm:spPr/>
      <dgm:t>
        <a:bodyPr/>
        <a:lstStyle/>
        <a:p>
          <a:endParaRPr lang="en-US" sz="900">
            <a:latin typeface="Arial" panose="020B0604020202020204" pitchFamily="34" charset="0"/>
            <a:cs typeface="Arial" panose="020B0604020202020204" pitchFamily="34" charset="0"/>
          </a:endParaRPr>
        </a:p>
      </dgm:t>
    </dgm:pt>
    <dgm:pt modelId="{740B8423-C8E3-4836-9A07-AE25E2DC9CF2}" type="sibTrans" cxnId="{DDB59B5E-F833-4DB6-96CC-C475E98D3807}">
      <dgm:prSet/>
      <dgm:spPr/>
      <dgm:t>
        <a:bodyPr/>
        <a:lstStyle/>
        <a:p>
          <a:endParaRPr lang="en-US" sz="900">
            <a:latin typeface="Arial" panose="020B0604020202020204" pitchFamily="34" charset="0"/>
            <a:cs typeface="Arial" panose="020B0604020202020204" pitchFamily="34" charset="0"/>
          </a:endParaRPr>
        </a:p>
      </dgm:t>
    </dgm:pt>
    <dgm:pt modelId="{C97E05E9-387A-4157-B5D8-BD3958F99BDF}" type="pres">
      <dgm:prSet presAssocID="{BF87ADE2-0B2B-4328-8E3A-1712560D683E}" presName="Name0" presStyleCnt="0">
        <dgm:presLayoutVars>
          <dgm:dir/>
          <dgm:animLvl val="lvl"/>
          <dgm:resizeHandles val="exact"/>
        </dgm:presLayoutVars>
      </dgm:prSet>
      <dgm:spPr/>
      <dgm:t>
        <a:bodyPr/>
        <a:lstStyle/>
        <a:p>
          <a:endParaRPr lang="en-US"/>
        </a:p>
      </dgm:t>
    </dgm:pt>
    <dgm:pt modelId="{BFF203CB-2588-45EF-8897-D118B57D62C7}" type="pres">
      <dgm:prSet presAssocID="{1F3F547C-5519-4D5E-A2E7-9CB5A4A1CBB2}" presName="composite" presStyleCnt="0"/>
      <dgm:spPr/>
    </dgm:pt>
    <dgm:pt modelId="{748A052F-8780-4C00-BEB8-DE455C814202}" type="pres">
      <dgm:prSet presAssocID="{1F3F547C-5519-4D5E-A2E7-9CB5A4A1CBB2}" presName="parTx" presStyleLbl="alignNode1" presStyleIdx="0" presStyleCnt="3">
        <dgm:presLayoutVars>
          <dgm:chMax val="0"/>
          <dgm:chPref val="0"/>
          <dgm:bulletEnabled val="1"/>
        </dgm:presLayoutVars>
      </dgm:prSet>
      <dgm:spPr/>
      <dgm:t>
        <a:bodyPr/>
        <a:lstStyle/>
        <a:p>
          <a:endParaRPr lang="en-US"/>
        </a:p>
      </dgm:t>
    </dgm:pt>
    <dgm:pt modelId="{FC76B955-4D1C-4760-B541-2EB04BC2D873}" type="pres">
      <dgm:prSet presAssocID="{1F3F547C-5519-4D5E-A2E7-9CB5A4A1CBB2}" presName="desTx" presStyleLbl="alignAccFollowNode1" presStyleIdx="0" presStyleCnt="3">
        <dgm:presLayoutVars>
          <dgm:bulletEnabled val="1"/>
        </dgm:presLayoutVars>
      </dgm:prSet>
      <dgm:spPr/>
      <dgm:t>
        <a:bodyPr/>
        <a:lstStyle/>
        <a:p>
          <a:endParaRPr lang="en-US"/>
        </a:p>
      </dgm:t>
    </dgm:pt>
    <dgm:pt modelId="{E4A00106-35FD-46C1-9489-8F7048FA5D25}" type="pres">
      <dgm:prSet presAssocID="{F5EA2C51-6E18-4CFC-A514-1B1CFBBF68E1}" presName="space" presStyleCnt="0"/>
      <dgm:spPr/>
    </dgm:pt>
    <dgm:pt modelId="{38535F83-94E5-4DC1-9B85-42C320A68C25}" type="pres">
      <dgm:prSet presAssocID="{D1C13451-E6C2-452C-8421-C6581A270838}" presName="composite" presStyleCnt="0"/>
      <dgm:spPr/>
    </dgm:pt>
    <dgm:pt modelId="{5D8336E6-5648-4BB7-A3CB-04BC7B38566A}" type="pres">
      <dgm:prSet presAssocID="{D1C13451-E6C2-452C-8421-C6581A270838}" presName="parTx" presStyleLbl="alignNode1" presStyleIdx="1" presStyleCnt="3">
        <dgm:presLayoutVars>
          <dgm:chMax val="0"/>
          <dgm:chPref val="0"/>
          <dgm:bulletEnabled val="1"/>
        </dgm:presLayoutVars>
      </dgm:prSet>
      <dgm:spPr/>
      <dgm:t>
        <a:bodyPr/>
        <a:lstStyle/>
        <a:p>
          <a:endParaRPr lang="en-US"/>
        </a:p>
      </dgm:t>
    </dgm:pt>
    <dgm:pt modelId="{9E10017E-B084-4CD4-83C5-6117FFAC99EB}" type="pres">
      <dgm:prSet presAssocID="{D1C13451-E6C2-452C-8421-C6581A270838}" presName="desTx" presStyleLbl="alignAccFollowNode1" presStyleIdx="1" presStyleCnt="3">
        <dgm:presLayoutVars>
          <dgm:bulletEnabled val="1"/>
        </dgm:presLayoutVars>
      </dgm:prSet>
      <dgm:spPr/>
      <dgm:t>
        <a:bodyPr/>
        <a:lstStyle/>
        <a:p>
          <a:endParaRPr lang="en-US"/>
        </a:p>
      </dgm:t>
    </dgm:pt>
    <dgm:pt modelId="{3CBC45C8-8267-468D-8676-FB0D57458D02}" type="pres">
      <dgm:prSet presAssocID="{EBE92DFA-CE19-4F02-97BA-8993A8C51203}" presName="space" presStyleCnt="0"/>
      <dgm:spPr/>
    </dgm:pt>
    <dgm:pt modelId="{FA4E218D-1128-4DE6-9503-A78C5EB9C4CC}" type="pres">
      <dgm:prSet presAssocID="{11786513-319B-444E-9E0C-2BCF4EDDCAE5}" presName="composite" presStyleCnt="0"/>
      <dgm:spPr/>
    </dgm:pt>
    <dgm:pt modelId="{8B5FC732-705B-471E-B335-CC31E714CD95}" type="pres">
      <dgm:prSet presAssocID="{11786513-319B-444E-9E0C-2BCF4EDDCAE5}" presName="parTx" presStyleLbl="alignNode1" presStyleIdx="2" presStyleCnt="3">
        <dgm:presLayoutVars>
          <dgm:chMax val="0"/>
          <dgm:chPref val="0"/>
          <dgm:bulletEnabled val="1"/>
        </dgm:presLayoutVars>
      </dgm:prSet>
      <dgm:spPr/>
      <dgm:t>
        <a:bodyPr/>
        <a:lstStyle/>
        <a:p>
          <a:endParaRPr lang="en-US"/>
        </a:p>
      </dgm:t>
    </dgm:pt>
    <dgm:pt modelId="{6D0A19B2-CBFF-4C39-A102-C841AEF25DC1}" type="pres">
      <dgm:prSet presAssocID="{11786513-319B-444E-9E0C-2BCF4EDDCAE5}" presName="desTx" presStyleLbl="alignAccFollowNode1" presStyleIdx="2" presStyleCnt="3">
        <dgm:presLayoutVars>
          <dgm:bulletEnabled val="1"/>
        </dgm:presLayoutVars>
      </dgm:prSet>
      <dgm:spPr/>
      <dgm:t>
        <a:bodyPr/>
        <a:lstStyle/>
        <a:p>
          <a:endParaRPr lang="en-US"/>
        </a:p>
      </dgm:t>
    </dgm:pt>
  </dgm:ptLst>
  <dgm:cxnLst>
    <dgm:cxn modelId="{EBDF5EE7-0C1C-4FCE-9202-2A07224401A6}" type="presOf" srcId="{11786513-319B-444E-9E0C-2BCF4EDDCAE5}" destId="{8B5FC732-705B-471E-B335-CC31E714CD95}" srcOrd="0" destOrd="0" presId="urn:microsoft.com/office/officeart/2005/8/layout/hList1"/>
    <dgm:cxn modelId="{98CC69E1-6AC6-4CCB-9FA4-F04050243E19}" type="presOf" srcId="{5AAF90D3-0A0A-4445-BE66-1049931E0528}" destId="{FC76B955-4D1C-4760-B541-2EB04BC2D873}" srcOrd="0" destOrd="1" presId="urn:microsoft.com/office/officeart/2005/8/layout/hList1"/>
    <dgm:cxn modelId="{1EE4BE8F-0060-46F1-8A92-C82383C10E97}" srcId="{BF87ADE2-0B2B-4328-8E3A-1712560D683E}" destId="{1F3F547C-5519-4D5E-A2E7-9CB5A4A1CBB2}" srcOrd="0" destOrd="0" parTransId="{AFBB9A68-20AF-4C68-A4DC-C29AC372A1E6}" sibTransId="{F5EA2C51-6E18-4CFC-A514-1B1CFBBF68E1}"/>
    <dgm:cxn modelId="{274DF573-FD3B-4F61-B0D2-950C6044EDB6}" srcId="{1F3F547C-5519-4D5E-A2E7-9CB5A4A1CBB2}" destId="{5AAF90D3-0A0A-4445-BE66-1049931E0528}" srcOrd="1" destOrd="0" parTransId="{23B83B92-80FB-4B57-B8B1-451E092EDCB4}" sibTransId="{C60FFBC4-3897-4B99-A708-839ED0BCF19C}"/>
    <dgm:cxn modelId="{907C5AC7-C2F5-4561-9E47-E62C266790F4}" type="presOf" srcId="{ED7550AF-51CD-497E-91F8-8A8B79988C54}" destId="{9E10017E-B084-4CD4-83C5-6117FFAC99EB}" srcOrd="0" destOrd="0" presId="urn:microsoft.com/office/officeart/2005/8/layout/hList1"/>
    <dgm:cxn modelId="{4C321BAA-D96F-4214-AB58-957B9E3800AF}" type="presOf" srcId="{31B26A85-AB32-4F70-AC08-47212A352C71}" destId="{9E10017E-B084-4CD4-83C5-6117FFAC99EB}" srcOrd="0" destOrd="1" presId="urn:microsoft.com/office/officeart/2005/8/layout/hList1"/>
    <dgm:cxn modelId="{83BCC208-3802-4885-8862-23099DED039B}" srcId="{BF87ADE2-0B2B-4328-8E3A-1712560D683E}" destId="{D1C13451-E6C2-452C-8421-C6581A270838}" srcOrd="1" destOrd="0" parTransId="{787A3557-9D0E-42AF-8704-DF836798999B}" sibTransId="{EBE92DFA-CE19-4F02-97BA-8993A8C51203}"/>
    <dgm:cxn modelId="{404148C4-6EB0-4753-97F9-489A8409529E}" type="presOf" srcId="{1F3F547C-5519-4D5E-A2E7-9CB5A4A1CBB2}" destId="{748A052F-8780-4C00-BEB8-DE455C814202}" srcOrd="0" destOrd="0" presId="urn:microsoft.com/office/officeart/2005/8/layout/hList1"/>
    <dgm:cxn modelId="{30EF3062-133D-4FBF-AC16-CB957DC091EB}" type="presOf" srcId="{BF87ADE2-0B2B-4328-8E3A-1712560D683E}" destId="{C97E05E9-387A-4157-B5D8-BD3958F99BDF}" srcOrd="0" destOrd="0" presId="urn:microsoft.com/office/officeart/2005/8/layout/hList1"/>
    <dgm:cxn modelId="{930A6C50-9DFD-4B72-9490-285A5B85A88B}" srcId="{D1C13451-E6C2-452C-8421-C6581A270838}" destId="{ED7550AF-51CD-497E-91F8-8A8B79988C54}" srcOrd="0" destOrd="0" parTransId="{3978AB82-BFEB-4A4E-9FEF-9DCB75F442C0}" sibTransId="{AF837BA4-5B75-4AFC-8F9F-20C6944885E9}"/>
    <dgm:cxn modelId="{27BCABE1-C8F8-4E76-AF6A-B06364E5D767}" type="presOf" srcId="{D1C13451-E6C2-452C-8421-C6581A270838}" destId="{5D8336E6-5648-4BB7-A3CB-04BC7B38566A}" srcOrd="0" destOrd="0" presId="urn:microsoft.com/office/officeart/2005/8/layout/hList1"/>
    <dgm:cxn modelId="{EACFBC43-A9FE-4F8F-A45F-3A2727B2DCF0}" srcId="{1F3F547C-5519-4D5E-A2E7-9CB5A4A1CBB2}" destId="{4B3FAEA5-6AF8-4319-A203-CD3FCBEC20B3}" srcOrd="0" destOrd="0" parTransId="{2369BD5C-BF59-459A-99E4-6EDBA83FAB7F}" sibTransId="{B6AA5107-AE66-4CAA-B9AD-F73855A5299E}"/>
    <dgm:cxn modelId="{DDB59B5E-F833-4DB6-96CC-C475E98D3807}" srcId="{D1C13451-E6C2-452C-8421-C6581A270838}" destId="{31B26A85-AB32-4F70-AC08-47212A352C71}" srcOrd="1" destOrd="0" parTransId="{79C8860C-532E-4FBC-A168-029EF54DCD02}" sibTransId="{740B8423-C8E3-4836-9A07-AE25E2DC9CF2}"/>
    <dgm:cxn modelId="{715FD248-B4DD-4373-B9B5-F9761B1684BD}" srcId="{11786513-319B-444E-9E0C-2BCF4EDDCAE5}" destId="{75450D80-CD78-478B-8BEC-AB8D2AC090D1}" srcOrd="0" destOrd="0" parTransId="{4F3F59F6-9A02-4FE6-99BC-87A7265D6DD7}" sibTransId="{6F8DB999-F220-4CC1-9B21-21AC9D760A3F}"/>
    <dgm:cxn modelId="{09927940-40F9-4068-8FA2-6E9D5281DA69}" type="presOf" srcId="{75450D80-CD78-478B-8BEC-AB8D2AC090D1}" destId="{6D0A19B2-CBFF-4C39-A102-C841AEF25DC1}" srcOrd="0" destOrd="0" presId="urn:microsoft.com/office/officeart/2005/8/layout/hList1"/>
    <dgm:cxn modelId="{6563B5FE-7E5A-4530-B50C-90EA12A2D4F8}" srcId="{BF87ADE2-0B2B-4328-8E3A-1712560D683E}" destId="{11786513-319B-444E-9E0C-2BCF4EDDCAE5}" srcOrd="2" destOrd="0" parTransId="{827BBFA8-1735-4720-B8CF-19DA6080ACFF}" sibTransId="{8C583413-884C-4708-BFA7-E891174CA581}"/>
    <dgm:cxn modelId="{B9446D86-2F43-4FD1-8D1A-7CF9A5A269ED}" type="presOf" srcId="{4B3FAEA5-6AF8-4319-A203-CD3FCBEC20B3}" destId="{FC76B955-4D1C-4760-B541-2EB04BC2D873}" srcOrd="0" destOrd="0" presId="urn:microsoft.com/office/officeart/2005/8/layout/hList1"/>
    <dgm:cxn modelId="{461502BC-BB46-4D98-ADFB-A5AE48282D33}" type="presParOf" srcId="{C97E05E9-387A-4157-B5D8-BD3958F99BDF}" destId="{BFF203CB-2588-45EF-8897-D118B57D62C7}" srcOrd="0" destOrd="0" presId="urn:microsoft.com/office/officeart/2005/8/layout/hList1"/>
    <dgm:cxn modelId="{972CF032-B30D-4DC3-B0CB-59CF63CC61EF}" type="presParOf" srcId="{BFF203CB-2588-45EF-8897-D118B57D62C7}" destId="{748A052F-8780-4C00-BEB8-DE455C814202}" srcOrd="0" destOrd="0" presId="urn:microsoft.com/office/officeart/2005/8/layout/hList1"/>
    <dgm:cxn modelId="{BD1B2C22-E1BA-4B2B-B547-1C4A1DF10D58}" type="presParOf" srcId="{BFF203CB-2588-45EF-8897-D118B57D62C7}" destId="{FC76B955-4D1C-4760-B541-2EB04BC2D873}" srcOrd="1" destOrd="0" presId="urn:microsoft.com/office/officeart/2005/8/layout/hList1"/>
    <dgm:cxn modelId="{7579452B-695A-48D3-9988-7CFC63BEAA1C}" type="presParOf" srcId="{C97E05E9-387A-4157-B5D8-BD3958F99BDF}" destId="{E4A00106-35FD-46C1-9489-8F7048FA5D25}" srcOrd="1" destOrd="0" presId="urn:microsoft.com/office/officeart/2005/8/layout/hList1"/>
    <dgm:cxn modelId="{985947E3-78C6-4FD4-BA25-2F181EFD872D}" type="presParOf" srcId="{C97E05E9-387A-4157-B5D8-BD3958F99BDF}" destId="{38535F83-94E5-4DC1-9B85-42C320A68C25}" srcOrd="2" destOrd="0" presId="urn:microsoft.com/office/officeart/2005/8/layout/hList1"/>
    <dgm:cxn modelId="{7BFC8D10-741F-4B09-A187-5BC8D77E61C6}" type="presParOf" srcId="{38535F83-94E5-4DC1-9B85-42C320A68C25}" destId="{5D8336E6-5648-4BB7-A3CB-04BC7B38566A}" srcOrd="0" destOrd="0" presId="urn:microsoft.com/office/officeart/2005/8/layout/hList1"/>
    <dgm:cxn modelId="{48849275-2B8D-4AB7-AAC3-7FF5A9D5D2C9}" type="presParOf" srcId="{38535F83-94E5-4DC1-9B85-42C320A68C25}" destId="{9E10017E-B084-4CD4-83C5-6117FFAC99EB}" srcOrd="1" destOrd="0" presId="urn:microsoft.com/office/officeart/2005/8/layout/hList1"/>
    <dgm:cxn modelId="{42170A3B-7F32-4653-A2DF-C8433F711CA5}" type="presParOf" srcId="{C97E05E9-387A-4157-B5D8-BD3958F99BDF}" destId="{3CBC45C8-8267-468D-8676-FB0D57458D02}" srcOrd="3" destOrd="0" presId="urn:microsoft.com/office/officeart/2005/8/layout/hList1"/>
    <dgm:cxn modelId="{886BA0CB-D3DB-4391-A562-C8B28F6A6DBB}" type="presParOf" srcId="{C97E05E9-387A-4157-B5D8-BD3958F99BDF}" destId="{FA4E218D-1128-4DE6-9503-A78C5EB9C4CC}" srcOrd="4" destOrd="0" presId="urn:microsoft.com/office/officeart/2005/8/layout/hList1"/>
    <dgm:cxn modelId="{C0023342-E45F-4E8B-BFCA-C9C9C7DE5CB1}" type="presParOf" srcId="{FA4E218D-1128-4DE6-9503-A78C5EB9C4CC}" destId="{8B5FC732-705B-471E-B335-CC31E714CD95}" srcOrd="0" destOrd="0" presId="urn:microsoft.com/office/officeart/2005/8/layout/hList1"/>
    <dgm:cxn modelId="{3502E353-F937-408A-96EC-9C989A0089D9}" type="presParOf" srcId="{FA4E218D-1128-4DE6-9503-A78C5EB9C4CC}" destId="{6D0A19B2-CBFF-4C39-A102-C841AEF25DC1}"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A052F-8780-4C00-BEB8-DE455C814202}">
      <dsp:nvSpPr>
        <dsp:cNvPr id="0" name=""/>
        <dsp:cNvSpPr/>
      </dsp:nvSpPr>
      <dsp:spPr>
        <a:xfrm>
          <a:off x="1878" y="348"/>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l"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Strategic/effectiveness gains</a:t>
          </a:r>
        </a:p>
      </dsp:txBody>
      <dsp:txXfrm>
        <a:off x="1878" y="348"/>
        <a:ext cx="1831255" cy="316800"/>
      </dsp:txXfrm>
    </dsp:sp>
    <dsp:sp modelId="{FC76B955-4D1C-4760-B541-2EB04BC2D873}">
      <dsp:nvSpPr>
        <dsp:cNvPr id="0" name=""/>
        <dsp:cNvSpPr/>
      </dsp:nvSpPr>
      <dsp:spPr>
        <a:xfrm>
          <a:off x="1878" y="317148"/>
          <a:ext cx="1831255" cy="7397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More cohesive and sector-focused planning and prioritisation</a:t>
          </a:r>
          <a:endParaRPr lang="en-US"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Rapid application in sudden-onset crises</a:t>
          </a:r>
        </a:p>
      </dsp:txBody>
      <dsp:txXfrm>
        <a:off x="1878" y="317148"/>
        <a:ext cx="1831255" cy="739777"/>
      </dsp:txXfrm>
    </dsp:sp>
    <dsp:sp modelId="{5D8336E6-5648-4BB7-A3CB-04BC7B38566A}">
      <dsp:nvSpPr>
        <dsp:cNvPr id="0" name=""/>
        <dsp:cNvSpPr/>
      </dsp:nvSpPr>
      <dsp:spPr>
        <a:xfrm>
          <a:off x="2089509" y="348"/>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l"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Coordination/efficiency gains</a:t>
          </a:r>
        </a:p>
      </dsp:txBody>
      <dsp:txXfrm>
        <a:off x="2089509" y="348"/>
        <a:ext cx="1831255" cy="316800"/>
      </dsp:txXfrm>
    </dsp:sp>
    <dsp:sp modelId="{9E10017E-B084-4CD4-83C5-6117FFAC99EB}">
      <dsp:nvSpPr>
        <dsp:cNvPr id="0" name=""/>
        <dsp:cNvSpPr/>
      </dsp:nvSpPr>
      <dsp:spPr>
        <a:xfrm>
          <a:off x="2089509" y="317148"/>
          <a:ext cx="1831255" cy="7397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Less time pressure and lighter administrative burden</a:t>
          </a:r>
          <a:endParaRPr lang="en-US"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Flexibility to allow for changing conditions and responses</a:t>
          </a:r>
        </a:p>
      </dsp:txBody>
      <dsp:txXfrm>
        <a:off x="2089509" y="317148"/>
        <a:ext cx="1831255" cy="739777"/>
      </dsp:txXfrm>
    </dsp:sp>
    <dsp:sp modelId="{8B5FC732-705B-471E-B335-CC31E714CD95}">
      <dsp:nvSpPr>
        <dsp:cNvPr id="0" name=""/>
        <dsp:cNvSpPr/>
      </dsp:nvSpPr>
      <dsp:spPr>
        <a:xfrm>
          <a:off x="4177141" y="348"/>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l"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Information/ accountability gains</a:t>
          </a:r>
        </a:p>
      </dsp:txBody>
      <dsp:txXfrm>
        <a:off x="4177141" y="348"/>
        <a:ext cx="1831255" cy="316800"/>
      </dsp:txXfrm>
    </dsp:sp>
    <dsp:sp modelId="{6D0A19B2-CBFF-4C39-A102-C841AEF25DC1}">
      <dsp:nvSpPr>
        <dsp:cNvPr id="0" name=""/>
        <dsp:cNvSpPr/>
      </dsp:nvSpPr>
      <dsp:spPr>
        <a:xfrm>
          <a:off x="4177141" y="317148"/>
          <a:ext cx="1831255" cy="7397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A clearer ‘whole picture’ estimate of resource needs, unobscured by multiple projects of different scales and scopes of coverage </a:t>
          </a:r>
        </a:p>
      </dsp:txBody>
      <dsp:txXfrm>
        <a:off x="4177141" y="317148"/>
        <a:ext cx="1831255" cy="739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A052F-8780-4C00-BEB8-DE455C814202}">
      <dsp:nvSpPr>
        <dsp:cNvPr id="0" name=""/>
        <dsp:cNvSpPr/>
      </dsp:nvSpPr>
      <dsp:spPr>
        <a:xfrm>
          <a:off x="1878" y="6633"/>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Quality/effectiveness losses</a:t>
          </a:r>
        </a:p>
      </dsp:txBody>
      <dsp:txXfrm>
        <a:off x="1878" y="6633"/>
        <a:ext cx="1831255" cy="316800"/>
      </dsp:txXfrm>
    </dsp:sp>
    <dsp:sp modelId="{FC76B955-4D1C-4760-B541-2EB04BC2D873}">
      <dsp:nvSpPr>
        <dsp:cNvPr id="0" name=""/>
        <dsp:cNvSpPr/>
      </dsp:nvSpPr>
      <dsp:spPr>
        <a:xfrm>
          <a:off x="1878" y="323433"/>
          <a:ext cx="1831255" cy="8605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Weaker quality control with loss of project review/vetting in the planning phase</a:t>
          </a:r>
          <a:endParaRPr lang="en-US"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Loss of project-related quality assurance tools such as the gender marker</a:t>
          </a:r>
          <a:endParaRPr lang="en-US" sz="900" kern="1200">
            <a:latin typeface="Arial" panose="020B0604020202020204" pitchFamily="34" charset="0"/>
            <a:cs typeface="Arial" panose="020B0604020202020204" pitchFamily="34" charset="0"/>
          </a:endParaRPr>
        </a:p>
      </dsp:txBody>
      <dsp:txXfrm>
        <a:off x="1878" y="323433"/>
        <a:ext cx="1831255" cy="860557"/>
      </dsp:txXfrm>
    </dsp:sp>
    <dsp:sp modelId="{5D8336E6-5648-4BB7-A3CB-04BC7B38566A}">
      <dsp:nvSpPr>
        <dsp:cNvPr id="0" name=""/>
        <dsp:cNvSpPr/>
      </dsp:nvSpPr>
      <dsp:spPr>
        <a:xfrm>
          <a:off x="2089509" y="6633"/>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Coordination/ participation losses</a:t>
          </a:r>
        </a:p>
      </dsp:txBody>
      <dsp:txXfrm>
        <a:off x="2089509" y="6633"/>
        <a:ext cx="1831255" cy="316800"/>
      </dsp:txXfrm>
    </dsp:sp>
    <dsp:sp modelId="{9E10017E-B084-4CD4-83C5-6117FFAC99EB}">
      <dsp:nvSpPr>
        <dsp:cNvPr id="0" name=""/>
        <dsp:cNvSpPr/>
      </dsp:nvSpPr>
      <dsp:spPr>
        <a:xfrm>
          <a:off x="2089509" y="323433"/>
          <a:ext cx="1831255" cy="8605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Less government engagement in cluster planning process</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Loss of NGO visibility, threatening equal opportunity to donor funding</a:t>
          </a:r>
        </a:p>
      </dsp:txBody>
      <dsp:txXfrm>
        <a:off x="2089509" y="323433"/>
        <a:ext cx="1831255" cy="860557"/>
      </dsp:txXfrm>
    </dsp:sp>
    <dsp:sp modelId="{8B5FC732-705B-471E-B335-CC31E714CD95}">
      <dsp:nvSpPr>
        <dsp:cNvPr id="0" name=""/>
        <dsp:cNvSpPr/>
      </dsp:nvSpPr>
      <dsp:spPr>
        <a:xfrm>
          <a:off x="4177141" y="6633"/>
          <a:ext cx="1831255"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Information/ accountability losses</a:t>
          </a:r>
        </a:p>
      </dsp:txBody>
      <dsp:txXfrm>
        <a:off x="4177141" y="6633"/>
        <a:ext cx="1831255" cy="316800"/>
      </dsp:txXfrm>
    </dsp:sp>
    <dsp:sp modelId="{6D0A19B2-CBFF-4C39-A102-C841AEF25DC1}">
      <dsp:nvSpPr>
        <dsp:cNvPr id="0" name=""/>
        <dsp:cNvSpPr/>
      </dsp:nvSpPr>
      <dsp:spPr>
        <a:xfrm>
          <a:off x="4177141" y="323433"/>
          <a:ext cx="1831255" cy="8605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Less transparency, if projects are not later listed in FTS/OPS (and a lack of incentive to do so if funding is received prior to project submissions)</a:t>
          </a:r>
          <a:endParaRPr lang="en-US" sz="900" kern="1200">
            <a:latin typeface="Arial" panose="020B0604020202020204" pitchFamily="34" charset="0"/>
            <a:cs typeface="Arial" panose="020B0604020202020204" pitchFamily="34" charset="0"/>
          </a:endParaRPr>
        </a:p>
      </dsp:txBody>
      <dsp:txXfrm>
        <a:off x="4177141" y="323433"/>
        <a:ext cx="1831255" cy="86055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563-93A8-4AED-8065-48E2CF37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2</cp:revision>
  <cp:lastPrinted>2014-08-25T13:12:00Z</cp:lastPrinted>
  <dcterms:created xsi:type="dcterms:W3CDTF">2014-09-04T19:33:00Z</dcterms:created>
  <dcterms:modified xsi:type="dcterms:W3CDTF">2014-09-04T19:33:00Z</dcterms:modified>
</cp:coreProperties>
</file>