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F9F" w:rsidRPr="008E0F9F" w:rsidRDefault="00952504" w:rsidP="008E0F9F">
      <w:pPr>
        <w:jc w:val="center"/>
        <w:rPr>
          <w:sz w:val="36"/>
        </w:rPr>
      </w:pPr>
      <w:r w:rsidRPr="008E0F9F">
        <w:rPr>
          <w:sz w:val="36"/>
        </w:rPr>
        <w:t>Cadre Stratégique Opérationnel</w:t>
      </w:r>
    </w:p>
    <w:p w:rsidR="00F15C12" w:rsidRPr="008E0F9F" w:rsidRDefault="008E0F9F" w:rsidP="008E0F9F">
      <w:pPr>
        <w:jc w:val="center"/>
        <w:rPr>
          <w:sz w:val="36"/>
        </w:rPr>
      </w:pPr>
      <w:r w:rsidRPr="008E0F9F">
        <w:rPr>
          <w:sz w:val="36"/>
        </w:rPr>
        <w:t>Cluster WASH</w:t>
      </w:r>
    </w:p>
    <w:p w:rsidR="00952504" w:rsidRDefault="00952504"/>
    <w:p w:rsidR="00952504" w:rsidRDefault="00952504"/>
    <w:p w:rsidR="00952504" w:rsidRDefault="00952504"/>
    <w:p w:rsidR="00F72D3D" w:rsidRPr="00F72D3D" w:rsidRDefault="00F72D3D" w:rsidP="00F72D3D">
      <w:pPr>
        <w:jc w:val="center"/>
        <w:rPr>
          <w:sz w:val="44"/>
        </w:rPr>
      </w:pPr>
      <w:r w:rsidRPr="00F72D3D">
        <w:rPr>
          <w:sz w:val="44"/>
        </w:rPr>
        <w:t>Photo</w:t>
      </w:r>
    </w:p>
    <w:p w:rsidR="008E0F9F" w:rsidRDefault="008E0F9F"/>
    <w:p w:rsidR="008E0F9F" w:rsidRDefault="008E0F9F"/>
    <w:p w:rsidR="008E0F9F" w:rsidRDefault="008E0F9F"/>
    <w:p w:rsidR="008E0F9F" w:rsidRDefault="008E0F9F"/>
    <w:p w:rsidR="00F72D3D" w:rsidRPr="00F7374B" w:rsidRDefault="00F72D3D" w:rsidP="00F72D3D">
      <w:pPr>
        <w:rPr>
          <w:color w:val="17365D" w:themeColor="text2" w:themeShade="BF"/>
          <w:u w:val="single"/>
        </w:rPr>
      </w:pPr>
      <w:r w:rsidRPr="00E052AC">
        <w:rPr>
          <w:color w:val="17365D" w:themeColor="text2" w:themeShade="BF"/>
          <w:u w:val="single"/>
        </w:rPr>
        <w:t xml:space="preserve">Version </w:t>
      </w:r>
      <w:r w:rsidRPr="00F7374B">
        <w:rPr>
          <w:color w:val="17365D" w:themeColor="text2" w:themeShade="BF"/>
          <w:szCs w:val="52"/>
          <w:u w:val="single"/>
        </w:rPr>
        <w:t>1</w:t>
      </w:r>
    </w:p>
    <w:p w:rsidR="008E0F9F" w:rsidRPr="00F72D3D" w:rsidRDefault="00F72D3D" w:rsidP="00F72D3D">
      <w:pPr>
        <w:rPr>
          <w:color w:val="17365D" w:themeColor="text2" w:themeShade="BF"/>
          <w:sz w:val="52"/>
          <w:u w:val="single"/>
        </w:rPr>
      </w:pPr>
      <w:r w:rsidRPr="00E052AC">
        <w:rPr>
          <w:color w:val="17365D" w:themeColor="text2" w:themeShade="BF"/>
          <w:u w:val="single"/>
        </w:rPr>
        <w:t>Date </w:t>
      </w:r>
      <w:r w:rsidRPr="00F7374B">
        <w:rPr>
          <w:color w:val="17365D" w:themeColor="text2" w:themeShade="BF"/>
          <w:u w:val="single"/>
        </w:rPr>
        <w:t>Juillet 2012</w:t>
      </w:r>
      <w:r w:rsidR="008E0F9F" w:rsidRPr="00F72D3D">
        <w:rPr>
          <w:lang w:val="en-US"/>
        </w:rPr>
        <w:br w:type="page"/>
      </w:r>
    </w:p>
    <w:p w:rsidR="008E0F9F" w:rsidRPr="00F72D3D" w:rsidRDefault="008E0F9F" w:rsidP="008E0F9F">
      <w:pPr>
        <w:jc w:val="center"/>
        <w:rPr>
          <w:b/>
          <w:color w:val="4F81BD" w:themeColor="accent1"/>
          <w:sz w:val="52"/>
          <w:szCs w:val="52"/>
          <w:u w:val="single"/>
          <w:lang w:val="en-US"/>
        </w:rPr>
      </w:pPr>
      <w:r w:rsidRPr="00F72D3D">
        <w:rPr>
          <w:b/>
          <w:color w:val="4F81BD" w:themeColor="accent1"/>
          <w:sz w:val="52"/>
          <w:szCs w:val="52"/>
          <w:u w:val="single"/>
          <w:lang w:val="en-US"/>
        </w:rPr>
        <w:lastRenderedPageBreak/>
        <w:t>SOMMAIRE</w:t>
      </w:r>
    </w:p>
    <w:p w:rsidR="008E0F9F" w:rsidRPr="00F72D3D" w:rsidRDefault="008E0F9F" w:rsidP="008E0F9F">
      <w:pPr>
        <w:rPr>
          <w:sz w:val="20"/>
          <w:szCs w:val="20"/>
          <w:lang w:val="en-US"/>
        </w:rPr>
      </w:pPr>
    </w:p>
    <w:p w:rsidR="008E0F9F" w:rsidRPr="00F72D3D" w:rsidRDefault="008E0F9F">
      <w:pPr>
        <w:rPr>
          <w:lang w:val="en-US"/>
        </w:rPr>
      </w:pPr>
      <w:r w:rsidRPr="00F72D3D">
        <w:rPr>
          <w:lang w:val="en-US"/>
        </w:rPr>
        <w:br w:type="page"/>
      </w:r>
    </w:p>
    <w:p w:rsidR="00952504" w:rsidRPr="008E0F9F" w:rsidRDefault="004E6DEF" w:rsidP="00794F9C">
      <w:pPr>
        <w:pStyle w:val="ListParagraph"/>
        <w:numPr>
          <w:ilvl w:val="0"/>
          <w:numId w:val="1"/>
        </w:numPr>
        <w:rPr>
          <w:sz w:val="32"/>
        </w:rPr>
      </w:pPr>
      <w:r>
        <w:rPr>
          <w:sz w:val="32"/>
        </w:rPr>
        <w:lastRenderedPageBreak/>
        <w:t>Introduction</w:t>
      </w:r>
      <w:r w:rsidR="00952504" w:rsidRPr="008E0F9F">
        <w:rPr>
          <w:sz w:val="32"/>
        </w:rPr>
        <w:t xml:space="preserve"> </w:t>
      </w:r>
    </w:p>
    <w:p w:rsidR="004E6DEF" w:rsidRPr="004E6DEF" w:rsidRDefault="004E6DEF" w:rsidP="00794F9C">
      <w:pPr>
        <w:pStyle w:val="ListParagraph"/>
        <w:numPr>
          <w:ilvl w:val="1"/>
          <w:numId w:val="1"/>
        </w:numPr>
        <w:rPr>
          <w:sz w:val="24"/>
        </w:rPr>
      </w:pPr>
      <w:r w:rsidRPr="004E6DEF">
        <w:rPr>
          <w:sz w:val="24"/>
        </w:rPr>
        <w:t xml:space="preserve">Analyse du contexte </w:t>
      </w:r>
      <w:r w:rsidR="00224FE1">
        <w:rPr>
          <w:sz w:val="24"/>
        </w:rPr>
        <w:t>Eau, Hygiène et Assainissement au Mali</w:t>
      </w:r>
    </w:p>
    <w:p w:rsidR="00DB349D" w:rsidRPr="00F67A00" w:rsidRDefault="00DB349D" w:rsidP="00F67A00">
      <w:pPr>
        <w:ind w:left="0" w:firstLine="0"/>
        <w:jc w:val="both"/>
        <w:rPr>
          <w:b/>
          <w:u w:val="single"/>
        </w:rPr>
      </w:pPr>
      <w:r w:rsidRPr="00F67A00">
        <w:rPr>
          <w:b/>
          <w:u w:val="single"/>
        </w:rPr>
        <w:t>Contexte institutionnel :</w:t>
      </w:r>
    </w:p>
    <w:p w:rsidR="00DB349D" w:rsidRPr="00DB349D" w:rsidRDefault="00DB349D" w:rsidP="00DB349D">
      <w:pPr>
        <w:autoSpaceDE w:val="0"/>
        <w:autoSpaceDN w:val="0"/>
        <w:adjustRightInd w:val="0"/>
        <w:spacing w:before="0" w:after="0" w:line="240" w:lineRule="auto"/>
        <w:ind w:left="0" w:firstLine="0"/>
        <w:jc w:val="both"/>
        <w:rPr>
          <w:rFonts w:cstheme="minorHAnsi"/>
        </w:rPr>
      </w:pPr>
      <w:r w:rsidRPr="00DB349D">
        <w:rPr>
          <w:rFonts w:cstheme="minorHAnsi"/>
        </w:rPr>
        <w:t>Le contexte au Mali est marqué actuellement par plusieurs reformes qui se traduisent par :</w:t>
      </w:r>
    </w:p>
    <w:p w:rsidR="00DB349D" w:rsidRPr="00DB349D" w:rsidRDefault="00DB349D" w:rsidP="00794F9C">
      <w:pPr>
        <w:pStyle w:val="ListParagraph"/>
        <w:numPr>
          <w:ilvl w:val="0"/>
          <w:numId w:val="12"/>
        </w:numPr>
        <w:autoSpaceDE w:val="0"/>
        <w:autoSpaceDN w:val="0"/>
        <w:adjustRightInd w:val="0"/>
        <w:spacing w:before="0" w:after="0" w:line="240" w:lineRule="auto"/>
        <w:jc w:val="both"/>
        <w:rPr>
          <w:rFonts w:asciiTheme="minorHAnsi" w:hAnsiTheme="minorHAnsi" w:cstheme="minorHAnsi"/>
        </w:rPr>
      </w:pPr>
      <w:r w:rsidRPr="00DB349D">
        <w:rPr>
          <w:rFonts w:asciiTheme="minorHAnsi" w:hAnsiTheme="minorHAnsi" w:cstheme="minorHAnsi"/>
        </w:rPr>
        <w:t>Le désengagement de l’Etat de la fourniture des biens et services pour recentrer ses actions sur la promotion du secteur privé national, la législation, la réglementation, le contrôle et le suivi ;</w:t>
      </w:r>
    </w:p>
    <w:p w:rsidR="00DB349D" w:rsidRPr="00DB349D" w:rsidRDefault="00DB349D" w:rsidP="00794F9C">
      <w:pPr>
        <w:pStyle w:val="ListParagraph"/>
        <w:numPr>
          <w:ilvl w:val="0"/>
          <w:numId w:val="12"/>
        </w:numPr>
        <w:autoSpaceDE w:val="0"/>
        <w:autoSpaceDN w:val="0"/>
        <w:adjustRightInd w:val="0"/>
        <w:spacing w:before="0" w:after="0" w:line="240" w:lineRule="auto"/>
        <w:jc w:val="both"/>
        <w:rPr>
          <w:rFonts w:asciiTheme="minorHAnsi" w:hAnsiTheme="minorHAnsi" w:cstheme="minorHAnsi"/>
        </w:rPr>
      </w:pPr>
      <w:r w:rsidRPr="00DB349D">
        <w:rPr>
          <w:rFonts w:asciiTheme="minorHAnsi" w:hAnsiTheme="minorHAnsi" w:cstheme="minorHAnsi"/>
        </w:rPr>
        <w:t>La décentralisation administrative par la responsabilisation des collectivités et structures décentralisées pour assurer la maîtrise d’ouvrage ;</w:t>
      </w:r>
    </w:p>
    <w:p w:rsidR="00DB349D" w:rsidRPr="00DB349D" w:rsidRDefault="00DB349D" w:rsidP="00794F9C">
      <w:pPr>
        <w:pStyle w:val="ListParagraph"/>
        <w:numPr>
          <w:ilvl w:val="0"/>
          <w:numId w:val="12"/>
        </w:numPr>
        <w:autoSpaceDE w:val="0"/>
        <w:autoSpaceDN w:val="0"/>
        <w:adjustRightInd w:val="0"/>
        <w:spacing w:before="0" w:after="0" w:line="240" w:lineRule="auto"/>
        <w:jc w:val="both"/>
        <w:rPr>
          <w:rFonts w:asciiTheme="minorHAnsi" w:hAnsiTheme="minorHAnsi" w:cstheme="minorHAnsi"/>
        </w:rPr>
      </w:pPr>
      <w:r w:rsidRPr="00DB349D">
        <w:rPr>
          <w:rFonts w:asciiTheme="minorHAnsi" w:hAnsiTheme="minorHAnsi" w:cstheme="minorHAnsi"/>
        </w:rPr>
        <w:t>L’harmonisation des lois et règlements en vigueur avec les exigences du nouveau contexte ;</w:t>
      </w:r>
    </w:p>
    <w:p w:rsidR="00DB349D" w:rsidRPr="00DB349D" w:rsidRDefault="00DB349D" w:rsidP="00794F9C">
      <w:pPr>
        <w:pStyle w:val="ListParagraph"/>
        <w:numPr>
          <w:ilvl w:val="0"/>
          <w:numId w:val="12"/>
        </w:numPr>
        <w:autoSpaceDE w:val="0"/>
        <w:autoSpaceDN w:val="0"/>
        <w:adjustRightInd w:val="0"/>
        <w:spacing w:before="0" w:after="0" w:line="240" w:lineRule="auto"/>
        <w:jc w:val="both"/>
        <w:rPr>
          <w:rFonts w:asciiTheme="minorHAnsi" w:hAnsiTheme="minorHAnsi" w:cstheme="minorHAnsi"/>
        </w:rPr>
      </w:pPr>
      <w:r w:rsidRPr="00DB349D">
        <w:rPr>
          <w:rFonts w:asciiTheme="minorHAnsi" w:hAnsiTheme="minorHAnsi" w:cstheme="minorHAnsi"/>
        </w:rPr>
        <w:t>La participation des bénéficiaires au financement des infrastructures et en privilégiant l’approche par la demande et l’approche par programme ;</w:t>
      </w:r>
    </w:p>
    <w:p w:rsidR="00DB349D" w:rsidRPr="00DB349D" w:rsidRDefault="00DB349D" w:rsidP="00794F9C">
      <w:pPr>
        <w:pStyle w:val="ListParagraph"/>
        <w:numPr>
          <w:ilvl w:val="0"/>
          <w:numId w:val="12"/>
        </w:numPr>
        <w:autoSpaceDE w:val="0"/>
        <w:autoSpaceDN w:val="0"/>
        <w:adjustRightInd w:val="0"/>
        <w:spacing w:before="0" w:after="0" w:line="240" w:lineRule="auto"/>
        <w:jc w:val="both"/>
        <w:rPr>
          <w:rFonts w:asciiTheme="minorHAnsi" w:hAnsiTheme="minorHAnsi" w:cstheme="minorHAnsi"/>
        </w:rPr>
      </w:pPr>
      <w:r w:rsidRPr="00DB349D">
        <w:rPr>
          <w:rFonts w:asciiTheme="minorHAnsi" w:hAnsiTheme="minorHAnsi" w:cstheme="minorHAnsi"/>
        </w:rPr>
        <w:t>Le développement d’actions visant la pérennisation des systèmes d’alimentation en eau potable, impliquant le paiement du service de l’eau par les usagers, la concertation à tous les niveaux et l’implication effective des femmes dans les activités.</w:t>
      </w:r>
    </w:p>
    <w:p w:rsidR="00DB349D" w:rsidRPr="00DB349D" w:rsidRDefault="00DB349D" w:rsidP="00DB349D">
      <w:pPr>
        <w:autoSpaceDE w:val="0"/>
        <w:autoSpaceDN w:val="0"/>
        <w:adjustRightInd w:val="0"/>
        <w:spacing w:before="0" w:after="0" w:line="240" w:lineRule="auto"/>
        <w:ind w:left="0" w:firstLine="0"/>
        <w:jc w:val="both"/>
        <w:rPr>
          <w:rFonts w:cstheme="minorHAnsi"/>
        </w:rPr>
      </w:pPr>
    </w:p>
    <w:p w:rsidR="00DB349D" w:rsidRPr="00DB349D" w:rsidRDefault="00DB349D" w:rsidP="00DB349D">
      <w:pPr>
        <w:autoSpaceDE w:val="0"/>
        <w:autoSpaceDN w:val="0"/>
        <w:adjustRightInd w:val="0"/>
        <w:spacing w:before="0" w:after="0" w:line="240" w:lineRule="auto"/>
        <w:ind w:left="0" w:firstLine="0"/>
        <w:jc w:val="both"/>
        <w:rPr>
          <w:rFonts w:cstheme="minorHAnsi"/>
        </w:rPr>
      </w:pPr>
      <w:r w:rsidRPr="00DB349D">
        <w:rPr>
          <w:rFonts w:cstheme="minorHAnsi"/>
        </w:rPr>
        <w:t xml:space="preserve">Les cadres de références actuels contribuant à trouver des solutions durables aux problèmes d’approvisionnement en eau potable </w:t>
      </w:r>
      <w:r>
        <w:rPr>
          <w:rFonts w:cstheme="minorHAnsi"/>
        </w:rPr>
        <w:t xml:space="preserve">et d’assainissement </w:t>
      </w:r>
      <w:r w:rsidRPr="00DB349D">
        <w:rPr>
          <w:rFonts w:cstheme="minorHAnsi"/>
        </w:rPr>
        <w:t>des populations sont :</w:t>
      </w:r>
    </w:p>
    <w:p w:rsidR="00DB349D" w:rsidRPr="00DB349D" w:rsidRDefault="00DB349D" w:rsidP="00794F9C">
      <w:pPr>
        <w:pStyle w:val="ListParagraph"/>
        <w:numPr>
          <w:ilvl w:val="0"/>
          <w:numId w:val="13"/>
        </w:numPr>
        <w:autoSpaceDE w:val="0"/>
        <w:autoSpaceDN w:val="0"/>
        <w:adjustRightInd w:val="0"/>
        <w:spacing w:before="0" w:after="0" w:line="240" w:lineRule="auto"/>
        <w:jc w:val="both"/>
        <w:rPr>
          <w:rFonts w:cstheme="minorHAnsi"/>
        </w:rPr>
      </w:pPr>
      <w:r w:rsidRPr="00DB349D">
        <w:rPr>
          <w:rFonts w:cstheme="minorHAnsi"/>
        </w:rPr>
        <w:t xml:space="preserve">Le Cadre Stratégique </w:t>
      </w:r>
      <w:r>
        <w:rPr>
          <w:rFonts w:cstheme="minorHAnsi"/>
        </w:rPr>
        <w:t xml:space="preserve">pour la Croissance et la Réduction de </w:t>
      </w:r>
      <w:r w:rsidRPr="00DB349D">
        <w:rPr>
          <w:rFonts w:cstheme="minorHAnsi"/>
        </w:rPr>
        <w:t>la Pauvreté (CS</w:t>
      </w:r>
      <w:r>
        <w:rPr>
          <w:rFonts w:cstheme="minorHAnsi"/>
        </w:rPr>
        <w:t>CR</w:t>
      </w:r>
      <w:r w:rsidRPr="00DB349D">
        <w:rPr>
          <w:rFonts w:cstheme="minorHAnsi"/>
        </w:rPr>
        <w:t>P),</w:t>
      </w:r>
    </w:p>
    <w:p w:rsidR="00DB349D" w:rsidRDefault="00DB349D" w:rsidP="00794F9C">
      <w:pPr>
        <w:pStyle w:val="ListParagraph"/>
        <w:numPr>
          <w:ilvl w:val="0"/>
          <w:numId w:val="13"/>
        </w:numPr>
        <w:autoSpaceDE w:val="0"/>
        <w:autoSpaceDN w:val="0"/>
        <w:adjustRightInd w:val="0"/>
        <w:spacing w:before="0" w:after="0" w:line="240" w:lineRule="auto"/>
        <w:jc w:val="both"/>
        <w:rPr>
          <w:rFonts w:cstheme="minorHAnsi"/>
        </w:rPr>
      </w:pPr>
      <w:r w:rsidRPr="00DB349D">
        <w:rPr>
          <w:rFonts w:cstheme="minorHAnsi"/>
        </w:rPr>
        <w:t>Les Objectifs du Millénaire pour le Développement du (OMD),</w:t>
      </w:r>
    </w:p>
    <w:p w:rsidR="00DB349D" w:rsidRPr="00DB349D" w:rsidRDefault="00DB349D" w:rsidP="00794F9C">
      <w:pPr>
        <w:pStyle w:val="ListParagraph"/>
        <w:numPr>
          <w:ilvl w:val="0"/>
          <w:numId w:val="13"/>
        </w:numPr>
        <w:autoSpaceDE w:val="0"/>
        <w:autoSpaceDN w:val="0"/>
        <w:adjustRightInd w:val="0"/>
        <w:spacing w:before="0" w:after="0" w:line="240" w:lineRule="auto"/>
        <w:jc w:val="both"/>
        <w:rPr>
          <w:rFonts w:cstheme="minorHAnsi"/>
        </w:rPr>
      </w:pPr>
      <w:r>
        <w:rPr>
          <w:rFonts w:cstheme="minorHAnsi"/>
        </w:rPr>
        <w:t>La Politique National de Protection de l’Environnement (PNPE)</w:t>
      </w:r>
    </w:p>
    <w:p w:rsidR="00DB349D" w:rsidRPr="00DB349D" w:rsidRDefault="00DB349D" w:rsidP="00794F9C">
      <w:pPr>
        <w:pStyle w:val="ListParagraph"/>
        <w:numPr>
          <w:ilvl w:val="0"/>
          <w:numId w:val="13"/>
        </w:numPr>
        <w:autoSpaceDE w:val="0"/>
        <w:autoSpaceDN w:val="0"/>
        <w:adjustRightInd w:val="0"/>
        <w:spacing w:before="0" w:after="0" w:line="240" w:lineRule="auto"/>
        <w:jc w:val="both"/>
        <w:rPr>
          <w:rFonts w:cstheme="minorHAnsi"/>
        </w:rPr>
      </w:pPr>
      <w:r w:rsidRPr="00DB349D">
        <w:rPr>
          <w:rFonts w:cstheme="minorHAnsi"/>
        </w:rPr>
        <w:t>Le Plan National de Gestion Intégrée des Ressources en Eau (PAGIRE),</w:t>
      </w:r>
    </w:p>
    <w:p w:rsidR="00DB349D" w:rsidRPr="00DB349D" w:rsidRDefault="00DB349D" w:rsidP="00794F9C">
      <w:pPr>
        <w:pStyle w:val="ListParagraph"/>
        <w:numPr>
          <w:ilvl w:val="0"/>
          <w:numId w:val="13"/>
        </w:numPr>
        <w:autoSpaceDE w:val="0"/>
        <w:autoSpaceDN w:val="0"/>
        <w:adjustRightInd w:val="0"/>
        <w:spacing w:before="0" w:after="0" w:line="240" w:lineRule="auto"/>
        <w:jc w:val="both"/>
        <w:rPr>
          <w:rFonts w:cstheme="minorHAnsi"/>
        </w:rPr>
      </w:pPr>
      <w:r w:rsidRPr="00DB349D">
        <w:rPr>
          <w:rFonts w:cstheme="minorHAnsi"/>
        </w:rPr>
        <w:t>Le Plan National d’Accès à l’Eau Potable (PNAE),</w:t>
      </w:r>
    </w:p>
    <w:p w:rsidR="00DB349D" w:rsidRPr="00DB349D" w:rsidRDefault="00DB349D" w:rsidP="00794F9C">
      <w:pPr>
        <w:pStyle w:val="ListParagraph"/>
        <w:numPr>
          <w:ilvl w:val="0"/>
          <w:numId w:val="13"/>
        </w:numPr>
        <w:autoSpaceDE w:val="0"/>
        <w:autoSpaceDN w:val="0"/>
        <w:adjustRightInd w:val="0"/>
        <w:spacing w:before="0" w:after="0" w:line="240" w:lineRule="auto"/>
        <w:jc w:val="both"/>
        <w:rPr>
          <w:rFonts w:cstheme="minorHAnsi"/>
        </w:rPr>
      </w:pPr>
      <w:r w:rsidRPr="00DB349D">
        <w:rPr>
          <w:rFonts w:cstheme="minorHAnsi"/>
        </w:rPr>
        <w:t>Le Programme Sectoriel Eau et Assainissement (PROSEA)</w:t>
      </w:r>
    </w:p>
    <w:p w:rsidR="00DB349D" w:rsidRPr="00DB349D" w:rsidRDefault="00DB349D" w:rsidP="00DB349D">
      <w:pPr>
        <w:autoSpaceDE w:val="0"/>
        <w:autoSpaceDN w:val="0"/>
        <w:adjustRightInd w:val="0"/>
        <w:spacing w:before="0" w:after="0" w:line="240" w:lineRule="auto"/>
        <w:ind w:left="0" w:firstLine="0"/>
        <w:jc w:val="both"/>
        <w:rPr>
          <w:rFonts w:cstheme="minorHAnsi"/>
        </w:rPr>
      </w:pPr>
      <w:r w:rsidRPr="00DB349D">
        <w:rPr>
          <w:rFonts w:cstheme="minorHAnsi"/>
        </w:rPr>
        <w:t>Tous les programmes et projets actuels d’alimentation en eau potable</w:t>
      </w:r>
      <w:r>
        <w:rPr>
          <w:rFonts w:cstheme="minorHAnsi"/>
        </w:rPr>
        <w:t xml:space="preserve"> et assainissement</w:t>
      </w:r>
      <w:r w:rsidRPr="00DB349D">
        <w:rPr>
          <w:rFonts w:cstheme="minorHAnsi"/>
        </w:rPr>
        <w:t xml:space="preserve"> s’inspirent de ce contexte.</w:t>
      </w:r>
    </w:p>
    <w:p w:rsidR="00F67A00" w:rsidRDefault="00F67A00" w:rsidP="00E321DE">
      <w:pPr>
        <w:ind w:left="0" w:firstLine="0"/>
        <w:jc w:val="both"/>
      </w:pPr>
      <w:r>
        <w:t>L</w:t>
      </w:r>
      <w:r w:rsidR="00294AD6">
        <w:t xml:space="preserve">es </w:t>
      </w:r>
      <w:r>
        <w:t xml:space="preserve">deux ministères principaux sont le </w:t>
      </w:r>
      <w:r w:rsidR="000379EA">
        <w:t>Ministère de l’Energie, de l’Eau et l’Environnement</w:t>
      </w:r>
      <w:r>
        <w:t xml:space="preserve"> et le Ministère de la santé. Respectivement, ils exercent une tutelle statutaire et de principe par le biais de la Direction Nationale de l’Hydraulique (DNH) et la Direction Nationale de l’Assainissement et de Contrôle des Pollutions et nuisances (DNACPN), et la Direction Nationale de la Santé, Division Hygiène et Prévention Sanitaire (DNS/DHPS).</w:t>
      </w:r>
    </w:p>
    <w:p w:rsidR="00DB349D" w:rsidRPr="00F67A00" w:rsidRDefault="00F67A00" w:rsidP="00E321DE">
      <w:pPr>
        <w:ind w:left="0" w:firstLine="0"/>
        <w:jc w:val="both"/>
        <w:rPr>
          <w:b/>
          <w:u w:val="single"/>
        </w:rPr>
      </w:pPr>
      <w:r>
        <w:rPr>
          <w:b/>
          <w:u w:val="single"/>
        </w:rPr>
        <w:t>Situation avant la crise :</w:t>
      </w:r>
      <w:r w:rsidRPr="00F67A00">
        <w:rPr>
          <w:b/>
          <w:u w:val="single"/>
        </w:rPr>
        <w:t xml:space="preserve"> </w:t>
      </w:r>
      <w:r w:rsidR="000379EA" w:rsidRPr="00F67A00">
        <w:rPr>
          <w:b/>
          <w:u w:val="single"/>
        </w:rPr>
        <w:t xml:space="preserve"> </w:t>
      </w:r>
    </w:p>
    <w:tbl>
      <w:tblPr>
        <w:tblStyle w:val="TableGrid"/>
        <w:tblW w:w="0" w:type="auto"/>
        <w:tblLook w:val="04A0"/>
      </w:tblPr>
      <w:tblGrid>
        <w:gridCol w:w="3070"/>
        <w:gridCol w:w="3071"/>
        <w:gridCol w:w="3071"/>
      </w:tblGrid>
      <w:tr w:rsidR="00C25721" w:rsidRPr="00C25721" w:rsidTr="00C25721">
        <w:tc>
          <w:tcPr>
            <w:tcW w:w="9212" w:type="dxa"/>
            <w:gridSpan w:val="3"/>
            <w:shd w:val="clear" w:color="auto" w:fill="4A442A" w:themeFill="background2" w:themeFillShade="40"/>
          </w:tcPr>
          <w:p w:rsidR="00C25721" w:rsidRPr="00C25721" w:rsidRDefault="00C25721" w:rsidP="00F67A00">
            <w:pPr>
              <w:ind w:left="0" w:firstLine="0"/>
              <w:jc w:val="both"/>
              <w:rPr>
                <w:b/>
                <w:color w:val="FFFFFF" w:themeColor="background1"/>
              </w:rPr>
            </w:pPr>
            <w:r w:rsidRPr="00C25721">
              <w:rPr>
                <w:b/>
                <w:color w:val="FFFFFF" w:themeColor="background1"/>
              </w:rPr>
              <w:t>Données générales</w:t>
            </w:r>
          </w:p>
        </w:tc>
      </w:tr>
      <w:tr w:rsidR="00C25721" w:rsidTr="00871C23">
        <w:tc>
          <w:tcPr>
            <w:tcW w:w="3070" w:type="dxa"/>
          </w:tcPr>
          <w:p w:rsidR="00C25721" w:rsidRDefault="00C25721" w:rsidP="00F67A00">
            <w:pPr>
              <w:ind w:left="0" w:firstLine="0"/>
              <w:jc w:val="both"/>
            </w:pPr>
            <w:r>
              <w:t>Population 2010</w:t>
            </w:r>
          </w:p>
        </w:tc>
        <w:tc>
          <w:tcPr>
            <w:tcW w:w="6142" w:type="dxa"/>
            <w:gridSpan w:val="2"/>
          </w:tcPr>
          <w:p w:rsidR="00C25721" w:rsidRDefault="00C25721" w:rsidP="00C25721">
            <w:pPr>
              <w:ind w:left="0" w:firstLine="0"/>
              <w:jc w:val="center"/>
            </w:pPr>
            <w:r>
              <w:t>15 370 000</w:t>
            </w:r>
          </w:p>
        </w:tc>
      </w:tr>
      <w:tr w:rsidR="00C25721" w:rsidTr="00871C23">
        <w:tc>
          <w:tcPr>
            <w:tcW w:w="3070" w:type="dxa"/>
          </w:tcPr>
          <w:p w:rsidR="00C25721" w:rsidRDefault="00C25721" w:rsidP="00F67A00">
            <w:pPr>
              <w:ind w:left="0" w:firstLine="0"/>
              <w:jc w:val="both"/>
            </w:pPr>
            <w:r>
              <w:t>Surface</w:t>
            </w:r>
          </w:p>
        </w:tc>
        <w:tc>
          <w:tcPr>
            <w:tcW w:w="6142" w:type="dxa"/>
            <w:gridSpan w:val="2"/>
          </w:tcPr>
          <w:p w:rsidR="00C25721" w:rsidRDefault="00C25721" w:rsidP="00C25721">
            <w:pPr>
              <w:ind w:left="0" w:firstLine="0"/>
              <w:jc w:val="center"/>
            </w:pPr>
            <w:r>
              <w:t>1 242 000 km²</w:t>
            </w:r>
          </w:p>
        </w:tc>
      </w:tr>
      <w:tr w:rsidR="00C25721" w:rsidTr="00C25721">
        <w:tc>
          <w:tcPr>
            <w:tcW w:w="9212" w:type="dxa"/>
            <w:gridSpan w:val="3"/>
            <w:shd w:val="clear" w:color="auto" w:fill="4A442A" w:themeFill="background2" w:themeFillShade="40"/>
          </w:tcPr>
          <w:p w:rsidR="00C25721" w:rsidRPr="00C25721" w:rsidRDefault="00C25721" w:rsidP="00871C23">
            <w:pPr>
              <w:ind w:left="0" w:firstLine="0"/>
              <w:rPr>
                <w:b/>
                <w:color w:val="FFFFFF" w:themeColor="background1"/>
              </w:rPr>
            </w:pPr>
            <w:r>
              <w:rPr>
                <w:b/>
                <w:color w:val="FFFFFF" w:themeColor="background1"/>
              </w:rPr>
              <w:t>Couverture Eau et assainissement</w:t>
            </w:r>
            <w:r w:rsidRPr="00C25721">
              <w:rPr>
                <w:b/>
                <w:color w:val="FFFFFF" w:themeColor="background1"/>
              </w:rPr>
              <w:t xml:space="preserve"> </w:t>
            </w:r>
          </w:p>
        </w:tc>
      </w:tr>
      <w:tr w:rsidR="00F67A00" w:rsidTr="00F67A00">
        <w:tc>
          <w:tcPr>
            <w:tcW w:w="3070" w:type="dxa"/>
          </w:tcPr>
          <w:p w:rsidR="00F67A00" w:rsidRPr="00C25721" w:rsidRDefault="00F67A00" w:rsidP="00C25721">
            <w:pPr>
              <w:ind w:left="0" w:firstLine="0"/>
              <w:rPr>
                <w:b/>
                <w:color w:val="FFFFFF" w:themeColor="background1"/>
              </w:rPr>
            </w:pPr>
          </w:p>
        </w:tc>
        <w:tc>
          <w:tcPr>
            <w:tcW w:w="3071" w:type="dxa"/>
          </w:tcPr>
          <w:p w:rsidR="00F67A00" w:rsidRDefault="00C25721" w:rsidP="00C25721">
            <w:pPr>
              <w:ind w:left="0" w:firstLine="0"/>
              <w:jc w:val="center"/>
            </w:pPr>
            <w:r>
              <w:t>Urbain</w:t>
            </w:r>
          </w:p>
        </w:tc>
        <w:tc>
          <w:tcPr>
            <w:tcW w:w="3071" w:type="dxa"/>
          </w:tcPr>
          <w:p w:rsidR="00F67A00" w:rsidRDefault="00C25721" w:rsidP="00C25721">
            <w:pPr>
              <w:ind w:left="0" w:firstLine="0"/>
              <w:jc w:val="center"/>
            </w:pPr>
            <w:r>
              <w:t>Rural</w:t>
            </w:r>
          </w:p>
        </w:tc>
      </w:tr>
      <w:tr w:rsidR="00F67A00" w:rsidTr="00F67A00">
        <w:tc>
          <w:tcPr>
            <w:tcW w:w="3070" w:type="dxa"/>
          </w:tcPr>
          <w:p w:rsidR="00F67A00" w:rsidRDefault="00F67A00" w:rsidP="00F67A00">
            <w:pPr>
              <w:ind w:left="0" w:firstLine="0"/>
              <w:jc w:val="both"/>
            </w:pPr>
            <w:r>
              <w:t xml:space="preserve">Accès à l’eau potable </w:t>
            </w:r>
          </w:p>
        </w:tc>
        <w:tc>
          <w:tcPr>
            <w:tcW w:w="3071" w:type="dxa"/>
          </w:tcPr>
          <w:p w:rsidR="00F67A00" w:rsidRDefault="00C25721" w:rsidP="00C25721">
            <w:pPr>
              <w:ind w:left="0" w:firstLine="0"/>
              <w:jc w:val="center"/>
            </w:pPr>
            <w:r>
              <w:t>87%</w:t>
            </w:r>
          </w:p>
        </w:tc>
        <w:tc>
          <w:tcPr>
            <w:tcW w:w="3071" w:type="dxa"/>
          </w:tcPr>
          <w:p w:rsidR="00F67A00" w:rsidRDefault="00C25721" w:rsidP="00C25721">
            <w:pPr>
              <w:ind w:left="0" w:firstLine="0"/>
              <w:jc w:val="center"/>
            </w:pPr>
            <w:r>
              <w:t>51%</w:t>
            </w:r>
          </w:p>
        </w:tc>
      </w:tr>
      <w:tr w:rsidR="00F67A00" w:rsidTr="00F67A00">
        <w:tc>
          <w:tcPr>
            <w:tcW w:w="3070" w:type="dxa"/>
          </w:tcPr>
          <w:p w:rsidR="00F67A00" w:rsidRDefault="00F67A00" w:rsidP="00F67A00">
            <w:pPr>
              <w:ind w:left="0" w:firstLine="0"/>
              <w:jc w:val="both"/>
            </w:pPr>
            <w:r>
              <w:t>Accès à l’assainissement</w:t>
            </w:r>
          </w:p>
        </w:tc>
        <w:tc>
          <w:tcPr>
            <w:tcW w:w="3071" w:type="dxa"/>
          </w:tcPr>
          <w:p w:rsidR="00F67A00" w:rsidRDefault="00C25721" w:rsidP="00C25721">
            <w:pPr>
              <w:ind w:left="0" w:firstLine="0"/>
              <w:jc w:val="center"/>
            </w:pPr>
            <w:r>
              <w:t>35%</w:t>
            </w:r>
          </w:p>
        </w:tc>
        <w:tc>
          <w:tcPr>
            <w:tcW w:w="3071" w:type="dxa"/>
          </w:tcPr>
          <w:p w:rsidR="00F67A00" w:rsidRDefault="00C25721" w:rsidP="00C25721">
            <w:pPr>
              <w:ind w:left="0" w:firstLine="0"/>
              <w:jc w:val="center"/>
            </w:pPr>
            <w:r>
              <w:t>14%</w:t>
            </w:r>
          </w:p>
        </w:tc>
      </w:tr>
      <w:tr w:rsidR="00C25721" w:rsidTr="00C25721">
        <w:tc>
          <w:tcPr>
            <w:tcW w:w="9212" w:type="dxa"/>
            <w:gridSpan w:val="3"/>
            <w:shd w:val="clear" w:color="auto" w:fill="4A442A" w:themeFill="background2" w:themeFillShade="40"/>
          </w:tcPr>
          <w:p w:rsidR="00C25721" w:rsidRPr="00C25721" w:rsidRDefault="00C25721" w:rsidP="00C25721">
            <w:pPr>
              <w:ind w:left="0" w:firstLine="0"/>
              <w:rPr>
                <w:b/>
                <w:color w:val="FFFFFF" w:themeColor="background1"/>
              </w:rPr>
            </w:pPr>
            <w:r w:rsidRPr="00C25721">
              <w:rPr>
                <w:b/>
                <w:color w:val="FFFFFF" w:themeColor="background1"/>
              </w:rPr>
              <w:t xml:space="preserve">Santé </w:t>
            </w:r>
          </w:p>
        </w:tc>
      </w:tr>
      <w:tr w:rsidR="00C25721" w:rsidTr="00871C23">
        <w:tc>
          <w:tcPr>
            <w:tcW w:w="3070" w:type="dxa"/>
          </w:tcPr>
          <w:p w:rsidR="00C25721" w:rsidRDefault="00C25721" w:rsidP="00F67A00">
            <w:pPr>
              <w:ind w:left="0" w:firstLine="0"/>
              <w:jc w:val="both"/>
            </w:pPr>
            <w:r>
              <w:t>Prévalence des diarrhées chez les moins de 5 ans</w:t>
            </w:r>
          </w:p>
        </w:tc>
        <w:tc>
          <w:tcPr>
            <w:tcW w:w="6142" w:type="dxa"/>
            <w:gridSpan w:val="2"/>
          </w:tcPr>
          <w:p w:rsidR="00C25721" w:rsidRDefault="00C25721" w:rsidP="00C25721">
            <w:pPr>
              <w:ind w:left="0" w:firstLine="0"/>
              <w:jc w:val="center"/>
            </w:pPr>
            <w:r>
              <w:t>Responsable d’1 décès sur 5 enfants de moins de 5ans</w:t>
            </w:r>
          </w:p>
        </w:tc>
      </w:tr>
      <w:tr w:rsidR="00C25721" w:rsidTr="00871C23">
        <w:tc>
          <w:tcPr>
            <w:tcW w:w="3070" w:type="dxa"/>
          </w:tcPr>
          <w:p w:rsidR="00C25721" w:rsidRDefault="00C25721" w:rsidP="00F67A00">
            <w:pPr>
              <w:ind w:left="0" w:firstLine="0"/>
              <w:jc w:val="both"/>
            </w:pPr>
            <w:r>
              <w:t>Taux de mortalité des moins de 5 ans (2010)</w:t>
            </w:r>
          </w:p>
        </w:tc>
        <w:tc>
          <w:tcPr>
            <w:tcW w:w="6142" w:type="dxa"/>
            <w:gridSpan w:val="2"/>
          </w:tcPr>
          <w:p w:rsidR="00C25721" w:rsidRDefault="00C25721" w:rsidP="00C25721">
            <w:pPr>
              <w:ind w:left="0" w:firstLine="0"/>
              <w:jc w:val="center"/>
            </w:pPr>
            <w:r>
              <w:t>178 pour 1000 naissances</w:t>
            </w:r>
          </w:p>
        </w:tc>
      </w:tr>
      <w:tr w:rsidR="00C25721" w:rsidTr="00871C23">
        <w:tc>
          <w:tcPr>
            <w:tcW w:w="3070" w:type="dxa"/>
          </w:tcPr>
          <w:p w:rsidR="00C25721" w:rsidRDefault="00C25721" w:rsidP="00F67A00">
            <w:pPr>
              <w:ind w:left="0" w:firstLine="0"/>
              <w:jc w:val="both"/>
            </w:pPr>
            <w:r>
              <w:t>Taux de mortalité brute</w:t>
            </w:r>
          </w:p>
        </w:tc>
        <w:tc>
          <w:tcPr>
            <w:tcW w:w="6142" w:type="dxa"/>
            <w:gridSpan w:val="2"/>
          </w:tcPr>
          <w:p w:rsidR="00C25721" w:rsidRDefault="00C25721" w:rsidP="00C25721">
            <w:pPr>
              <w:ind w:left="0" w:firstLine="0"/>
              <w:jc w:val="center"/>
            </w:pPr>
            <w:r>
              <w:t>15 pour 1000</w:t>
            </w:r>
          </w:p>
        </w:tc>
      </w:tr>
    </w:tbl>
    <w:p w:rsidR="00F67A00" w:rsidRDefault="00C25721" w:rsidP="00C25721">
      <w:pPr>
        <w:ind w:left="0" w:firstLine="0"/>
        <w:jc w:val="center"/>
      </w:pPr>
      <w:r w:rsidRPr="00C25721">
        <w:lastRenderedPageBreak/>
        <w:drawing>
          <wp:inline distT="0" distB="0" distL="0" distR="0">
            <wp:extent cx="4572000" cy="302895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E1BEA" w:rsidRPr="009D7BB0" w:rsidRDefault="008E1BEA" w:rsidP="008E1BEA">
      <w:pPr>
        <w:ind w:left="0" w:firstLine="0"/>
        <w:jc w:val="both"/>
      </w:pPr>
      <w:r>
        <w:t>Le Mali</w:t>
      </w:r>
      <w:r w:rsidRPr="009D7BB0">
        <w:t xml:space="preserve"> est principalement </w:t>
      </w:r>
      <w:proofErr w:type="gramStart"/>
      <w:r w:rsidRPr="009D7BB0">
        <w:t>caractérisé</w:t>
      </w:r>
      <w:proofErr w:type="gramEnd"/>
      <w:r w:rsidRPr="009D7BB0">
        <w:t xml:space="preserve"> par le désert </w:t>
      </w:r>
      <w:r>
        <w:t>au Nord, la région</w:t>
      </w:r>
      <w:r w:rsidRPr="009D7BB0">
        <w:t xml:space="preserve"> du Sahel et </w:t>
      </w:r>
      <w:r>
        <w:t>un climat subtropicale</w:t>
      </w:r>
      <w:r w:rsidRPr="009D7BB0">
        <w:t xml:space="preserve"> dans le sud. Globalement la géomorphologie </w:t>
      </w:r>
      <w:r>
        <w:t xml:space="preserve">des sols se présente comme suit : </w:t>
      </w:r>
      <w:r w:rsidRPr="009D7BB0">
        <w:t>sable du désert dans les plaines du nord, collines rocheuses dans le nord-est, et principalement de savanes dans le sud, avec la terre verte et des marais dans la partie centrale, au sud du fleuve Niger. Le fleuve Niger</w:t>
      </w:r>
      <w:r>
        <w:t xml:space="preserve"> coule</w:t>
      </w:r>
      <w:r w:rsidRPr="009D7BB0">
        <w:t xml:space="preserve"> à travers le pays </w:t>
      </w:r>
      <w:r>
        <w:t xml:space="preserve">sur plus de 1 </w:t>
      </w:r>
      <w:r w:rsidRPr="009D7BB0">
        <w:t>500 km et constitue la principale ressource en eau dans le pays. Le climat du pays est généralement typique de celle de la région subtropicale, avec trois saisons principales: i) chauds et secs de Février à Juin, ii) la saison des pluies, humides avec une température douce</w:t>
      </w:r>
      <w:r>
        <w:t xml:space="preserve"> de Juin à Novembre et iii) frais</w:t>
      </w:r>
      <w:r w:rsidRPr="009D7BB0">
        <w:t xml:space="preserve"> et à sec à partir de Novembre to Février</w:t>
      </w:r>
      <w:r>
        <w:t>.</w:t>
      </w:r>
    </w:p>
    <w:p w:rsidR="008E1BEA" w:rsidRPr="004E6DEF" w:rsidRDefault="008E1BEA" w:rsidP="00794F9C">
      <w:pPr>
        <w:pStyle w:val="ListParagraph"/>
        <w:numPr>
          <w:ilvl w:val="1"/>
          <w:numId w:val="1"/>
        </w:numPr>
        <w:rPr>
          <w:sz w:val="24"/>
        </w:rPr>
      </w:pPr>
      <w:r>
        <w:rPr>
          <w:sz w:val="24"/>
        </w:rPr>
        <w:t xml:space="preserve">Contexte du cluster </w:t>
      </w:r>
      <w:r w:rsidRPr="004E6DEF">
        <w:rPr>
          <w:sz w:val="24"/>
        </w:rPr>
        <w:t>WASH</w:t>
      </w:r>
    </w:p>
    <w:p w:rsidR="00F67A00" w:rsidRPr="00E321DE" w:rsidRDefault="00F67A00" w:rsidP="00F67A00">
      <w:pPr>
        <w:ind w:left="0" w:firstLine="0"/>
        <w:jc w:val="both"/>
        <w:rPr>
          <w:sz w:val="14"/>
          <w:szCs w:val="14"/>
        </w:rPr>
      </w:pPr>
      <w:r w:rsidRPr="00E321DE">
        <w:t xml:space="preserve">Suite au coup d'Etat et le conflit le fonctionnement des réseaux d’adduction d’eau dans des grandes villes au nord est devenu erratique à cause d’un manque de carburant, de pièces de rechange et de </w:t>
      </w:r>
      <w:r w:rsidR="008E1BEA">
        <w:t>r</w:t>
      </w:r>
      <w:r w:rsidRPr="00E321DE">
        <w:t xml:space="preserve">essources humaines pour opérer les installations. De plus, certains déplacés ont fui leur villages/villes pour se rassembler près des points d’eau existants (mares, fleuves, puits traditionnels). L’eau du fleuve est largement consommée non traitée. Et la pression sur les puits traditionnels ne cesse de s’accroître suite à ces mouvements de populations constants, à la présence du bétail des éleveurs, mais également aux pillages de certains points d’eau améliorés (forage avec panneaux solaires notamment). Les puits anciennement dédiés à l’abreuvement du bétail sont maintenant également partagés avec les populations déplacées notamment sur les districts sanitaires de </w:t>
      </w:r>
      <w:proofErr w:type="spellStart"/>
      <w:r w:rsidRPr="00E321DE">
        <w:t>Diré</w:t>
      </w:r>
      <w:proofErr w:type="spellEnd"/>
      <w:r w:rsidRPr="00E321DE">
        <w:t xml:space="preserve"> et Goundam (région Tombouctou). </w:t>
      </w:r>
    </w:p>
    <w:p w:rsidR="00E321DE" w:rsidRDefault="00E321DE" w:rsidP="00E321DE">
      <w:pPr>
        <w:ind w:left="0" w:firstLine="0"/>
        <w:jc w:val="both"/>
      </w:pPr>
      <w:r w:rsidRPr="00E321DE">
        <w:t xml:space="preserve">Dans les zones d’accueil des déplacés, la recrudescence des maladies liées à l’eau a été nettement observée par les acteurs médicaux présents, même si force est de constater que la surveillance épidémiologique ne fonctionne plus depuis plusieurs semaines. Selon les informations transmises par les acteurs de santé, le paludisme est devenu la deuxième cause de consultation, sur l’aire de santé de Tombouctou ville, alors que le pic est habituellement attendu pour juillet avec l’arrivée de la saison des pluies. Sur le district sanitaire de </w:t>
      </w:r>
      <w:proofErr w:type="spellStart"/>
      <w:r w:rsidRPr="00E321DE">
        <w:t>Diré</w:t>
      </w:r>
      <w:proofErr w:type="spellEnd"/>
      <w:r w:rsidRPr="00E321DE">
        <w:t xml:space="preserve"> (région de Tombouctou), les taux de diarrhées </w:t>
      </w:r>
      <w:r w:rsidRPr="00E321DE">
        <w:lastRenderedPageBreak/>
        <w:t xml:space="preserve">enregistrés ont doublé par rapport à d’autres districts très probablement dû à la forte proximité du fleuve et du nombre important de déplacés dans la zone. </w:t>
      </w:r>
    </w:p>
    <w:p w:rsidR="008E1BEA" w:rsidRDefault="00017893" w:rsidP="00E321DE">
      <w:pPr>
        <w:ind w:left="0" w:firstLine="0"/>
        <w:jc w:val="both"/>
        <w:rPr>
          <w:b/>
          <w:u w:val="single"/>
        </w:rPr>
      </w:pPr>
      <w:r w:rsidRPr="00017893">
        <w:rPr>
          <w:b/>
          <w:u w:val="single"/>
        </w:rPr>
        <w:t>Réponse actuelle des acteurs du cluster WASH</w:t>
      </w:r>
      <w:r>
        <w:rPr>
          <w:b/>
          <w:u w:val="single"/>
        </w:rPr>
        <w:t> :</w:t>
      </w:r>
    </w:p>
    <w:p w:rsidR="00017893" w:rsidRPr="00017893" w:rsidRDefault="00017893" w:rsidP="00E321DE">
      <w:pPr>
        <w:ind w:left="0" w:firstLine="0"/>
        <w:jc w:val="both"/>
      </w:pPr>
      <w:r w:rsidRPr="00017893">
        <w:t xml:space="preserve">Globalement, le niveau de la réponse WASH est </w:t>
      </w:r>
      <w:r>
        <w:t>très</w:t>
      </w:r>
      <w:r w:rsidRPr="00017893">
        <w:t xml:space="preserve"> faible</w:t>
      </w:r>
      <w:r>
        <w:t>, aussi bien en termes de couverture que de réponses programmatiques. Les besoins WASH induits par l</w:t>
      </w:r>
      <w:r w:rsidRPr="00017893">
        <w:t>a crise nutritionnelle et le conflit</w:t>
      </w:r>
      <w:r>
        <w:t xml:space="preserve"> ne sont que très maigrement couverts</w:t>
      </w:r>
      <w:r w:rsidRPr="00017893">
        <w:t xml:space="preserve">. </w:t>
      </w:r>
    </w:p>
    <w:p w:rsidR="00C12533" w:rsidRDefault="008E1BEA" w:rsidP="00C12533">
      <w:pPr>
        <w:pStyle w:val="Default"/>
        <w:ind w:left="0" w:firstLine="0"/>
        <w:jc w:val="center"/>
        <w:rPr>
          <w:rFonts w:asciiTheme="minorHAnsi" w:hAnsiTheme="minorHAnsi" w:cstheme="minorBidi"/>
          <w:color w:val="auto"/>
          <w:sz w:val="22"/>
          <w:szCs w:val="22"/>
        </w:rPr>
      </w:pPr>
      <w:r>
        <w:rPr>
          <w:b/>
          <w:bCs/>
          <w:noProof/>
          <w:sz w:val="18"/>
          <w:szCs w:val="18"/>
          <w:lang w:eastAsia="fr-FR"/>
        </w:rPr>
        <w:drawing>
          <wp:inline distT="0" distB="0" distL="0" distR="0">
            <wp:extent cx="5314950" cy="4143375"/>
            <wp:effectExtent l="19050" t="0" r="0" b="0"/>
            <wp:docPr id="1" name="Picture 0" descr="4W_PAR COMMUNE_07072012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_PAR COMMUNE_07072012_Page_1.jpg"/>
                    <pic:cNvPicPr/>
                  </pic:nvPicPr>
                  <pic:blipFill>
                    <a:blip r:embed="rId9" cstate="print"/>
                    <a:srcRect l="4130" t="1927" r="3697" b="4925"/>
                    <a:stretch>
                      <a:fillRect/>
                    </a:stretch>
                  </pic:blipFill>
                  <pic:spPr>
                    <a:xfrm>
                      <a:off x="0" y="0"/>
                      <a:ext cx="5314950" cy="4143375"/>
                    </a:xfrm>
                    <a:prstGeom prst="rect">
                      <a:avLst/>
                    </a:prstGeom>
                  </pic:spPr>
                </pic:pic>
              </a:graphicData>
            </a:graphic>
          </wp:inline>
        </w:drawing>
      </w:r>
    </w:p>
    <w:p w:rsidR="00C12533" w:rsidRDefault="00C12533" w:rsidP="00C12533">
      <w:pPr>
        <w:pStyle w:val="Default"/>
        <w:ind w:left="0" w:firstLine="0"/>
        <w:jc w:val="both"/>
        <w:rPr>
          <w:rFonts w:asciiTheme="minorHAnsi" w:hAnsiTheme="minorHAnsi" w:cstheme="minorBidi"/>
          <w:color w:val="auto"/>
          <w:sz w:val="22"/>
          <w:szCs w:val="22"/>
        </w:rPr>
      </w:pPr>
      <w:r>
        <w:rPr>
          <w:rFonts w:asciiTheme="minorHAnsi" w:hAnsiTheme="minorHAnsi" w:cstheme="minorBidi"/>
          <w:color w:val="auto"/>
          <w:sz w:val="22"/>
          <w:szCs w:val="22"/>
        </w:rPr>
        <w:t>Au cours des dernier</w:t>
      </w:r>
      <w:r w:rsidR="00017893" w:rsidRPr="00017893">
        <w:rPr>
          <w:rFonts w:asciiTheme="minorHAnsi" w:hAnsiTheme="minorHAnsi" w:cstheme="minorBidi"/>
          <w:color w:val="auto"/>
          <w:sz w:val="22"/>
          <w:szCs w:val="22"/>
        </w:rPr>
        <w:t xml:space="preserve">s mois, l'accès </w:t>
      </w:r>
      <w:r>
        <w:rPr>
          <w:rFonts w:asciiTheme="minorHAnsi" w:hAnsiTheme="minorHAnsi" w:cstheme="minorBidi"/>
          <w:color w:val="auto"/>
          <w:sz w:val="22"/>
          <w:szCs w:val="22"/>
        </w:rPr>
        <w:t xml:space="preserve">aux bénéficiaires dans le </w:t>
      </w:r>
      <w:r w:rsidR="00017893" w:rsidRPr="00017893">
        <w:rPr>
          <w:rFonts w:asciiTheme="minorHAnsi" w:hAnsiTheme="minorHAnsi" w:cstheme="minorBidi"/>
          <w:color w:val="auto"/>
          <w:sz w:val="22"/>
          <w:szCs w:val="22"/>
        </w:rPr>
        <w:t xml:space="preserve">Nord </w:t>
      </w:r>
      <w:r>
        <w:rPr>
          <w:rFonts w:asciiTheme="minorHAnsi" w:hAnsiTheme="minorHAnsi" w:cstheme="minorBidi"/>
          <w:color w:val="auto"/>
          <w:sz w:val="22"/>
          <w:szCs w:val="22"/>
        </w:rPr>
        <w:t xml:space="preserve">semblait être très difficile </w:t>
      </w:r>
      <w:r w:rsidR="00017893" w:rsidRPr="00017893">
        <w:rPr>
          <w:rFonts w:asciiTheme="minorHAnsi" w:hAnsiTheme="minorHAnsi" w:cstheme="minorBidi"/>
          <w:color w:val="auto"/>
          <w:sz w:val="22"/>
          <w:szCs w:val="22"/>
        </w:rPr>
        <w:t xml:space="preserve">ce qui a conduit </w:t>
      </w:r>
      <w:r>
        <w:rPr>
          <w:rFonts w:asciiTheme="minorHAnsi" w:hAnsiTheme="minorHAnsi" w:cstheme="minorBidi"/>
          <w:color w:val="auto"/>
          <w:sz w:val="22"/>
          <w:szCs w:val="22"/>
        </w:rPr>
        <w:t>la majorité des partenaires à arrêter toute activité</w:t>
      </w:r>
      <w:r w:rsidR="00017893" w:rsidRPr="00017893">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Actuellement, </w:t>
      </w:r>
      <w:r w:rsidR="00017893" w:rsidRPr="00017893">
        <w:rPr>
          <w:rFonts w:asciiTheme="minorHAnsi" w:hAnsiTheme="minorHAnsi" w:cstheme="minorBidi"/>
          <w:color w:val="auto"/>
          <w:sz w:val="22"/>
          <w:szCs w:val="22"/>
        </w:rPr>
        <w:t xml:space="preserve">les ONG </w:t>
      </w:r>
      <w:r>
        <w:rPr>
          <w:rFonts w:asciiTheme="minorHAnsi" w:hAnsiTheme="minorHAnsi" w:cstheme="minorBidi"/>
          <w:color w:val="auto"/>
          <w:sz w:val="22"/>
          <w:szCs w:val="22"/>
        </w:rPr>
        <w:t xml:space="preserve">ont réalisé que l’accès au Nord n’est pas une contrainte majeure et sont en mesure de travailler, sachant qu’il doit être négocié au cas par cas avec les groupes armés en charge </w:t>
      </w:r>
      <w:r w:rsidR="00017893" w:rsidRPr="00017893">
        <w:rPr>
          <w:rFonts w:asciiTheme="minorHAnsi" w:hAnsiTheme="minorHAnsi" w:cstheme="minorBidi"/>
          <w:color w:val="auto"/>
          <w:sz w:val="22"/>
          <w:szCs w:val="22"/>
        </w:rPr>
        <w:t xml:space="preserve">et </w:t>
      </w:r>
      <w:r>
        <w:rPr>
          <w:rFonts w:asciiTheme="minorHAnsi" w:hAnsiTheme="minorHAnsi" w:cstheme="minorBidi"/>
          <w:color w:val="auto"/>
          <w:sz w:val="22"/>
          <w:szCs w:val="22"/>
        </w:rPr>
        <w:t xml:space="preserve">en assurant également par chacun l’application et le </w:t>
      </w:r>
      <w:r w:rsidR="00017893" w:rsidRPr="00017893">
        <w:rPr>
          <w:rFonts w:asciiTheme="minorHAnsi" w:hAnsiTheme="minorHAnsi" w:cstheme="minorBidi"/>
          <w:color w:val="auto"/>
          <w:sz w:val="22"/>
          <w:szCs w:val="22"/>
        </w:rPr>
        <w:t>respect des p</w:t>
      </w:r>
      <w:r>
        <w:rPr>
          <w:rFonts w:asciiTheme="minorHAnsi" w:hAnsiTheme="minorHAnsi" w:cstheme="minorBidi"/>
          <w:color w:val="auto"/>
          <w:sz w:val="22"/>
          <w:szCs w:val="22"/>
        </w:rPr>
        <w:t>rincipes humanitaires comme condition sine qua none d’intervention</w:t>
      </w:r>
      <w:r w:rsidR="00017893" w:rsidRPr="00017893">
        <w:rPr>
          <w:rFonts w:asciiTheme="minorHAnsi" w:hAnsiTheme="minorHAnsi" w:cstheme="minorBidi"/>
          <w:color w:val="auto"/>
          <w:sz w:val="22"/>
          <w:szCs w:val="22"/>
        </w:rPr>
        <w:t>.</w:t>
      </w:r>
    </w:p>
    <w:p w:rsidR="004E6DEF" w:rsidRDefault="00017893" w:rsidP="00C12533">
      <w:pPr>
        <w:pStyle w:val="Default"/>
        <w:ind w:left="0" w:firstLine="0"/>
        <w:jc w:val="both"/>
        <w:rPr>
          <w:rFonts w:asciiTheme="minorHAnsi" w:hAnsiTheme="minorHAnsi" w:cstheme="minorBidi"/>
          <w:color w:val="auto"/>
          <w:sz w:val="22"/>
          <w:szCs w:val="22"/>
        </w:rPr>
      </w:pPr>
      <w:r w:rsidRPr="00017893">
        <w:rPr>
          <w:rFonts w:asciiTheme="minorHAnsi" w:hAnsiTheme="minorHAnsi" w:cstheme="minorBidi"/>
          <w:color w:val="auto"/>
          <w:sz w:val="22"/>
          <w:szCs w:val="22"/>
        </w:rPr>
        <w:t>Les priorités aujourd'hui sont: a) de mobiliser les acteurs WASH dans le Nord et Mopti, dans l'ordre de mettre en place des activités de prévention du choléra dans les zones hautement prioritaires tels que définis par le Cluster WASH et de mobiliser des ressources financières supplémentaires, b) d'engager d'autres partenaires (n</w:t>
      </w:r>
      <w:r w:rsidR="00C12533">
        <w:rPr>
          <w:rFonts w:asciiTheme="minorHAnsi" w:hAnsiTheme="minorHAnsi" w:cstheme="minorBidi"/>
          <w:color w:val="auto"/>
          <w:sz w:val="22"/>
          <w:szCs w:val="22"/>
        </w:rPr>
        <w:t>otamment le cluster nutrition</w:t>
      </w:r>
      <w:r w:rsidRPr="00017893">
        <w:rPr>
          <w:rFonts w:asciiTheme="minorHAnsi" w:hAnsiTheme="minorHAnsi" w:cstheme="minorBidi"/>
          <w:color w:val="auto"/>
          <w:sz w:val="22"/>
          <w:szCs w:val="22"/>
        </w:rPr>
        <w:t xml:space="preserve">) et les donateurs à engager </w:t>
      </w:r>
      <w:r w:rsidR="00C12533">
        <w:rPr>
          <w:rFonts w:asciiTheme="minorHAnsi" w:hAnsiTheme="minorHAnsi" w:cstheme="minorBidi"/>
          <w:color w:val="auto"/>
          <w:sz w:val="22"/>
          <w:szCs w:val="22"/>
        </w:rPr>
        <w:t xml:space="preserve">et </w:t>
      </w:r>
      <w:r w:rsidRPr="00017893">
        <w:rPr>
          <w:rFonts w:asciiTheme="minorHAnsi" w:hAnsiTheme="minorHAnsi" w:cstheme="minorBidi"/>
          <w:color w:val="auto"/>
          <w:sz w:val="22"/>
          <w:szCs w:val="22"/>
        </w:rPr>
        <w:t xml:space="preserve">intégrer les activités de programme </w:t>
      </w:r>
      <w:r w:rsidR="00C12533">
        <w:rPr>
          <w:rFonts w:asciiTheme="minorHAnsi" w:hAnsiTheme="minorHAnsi" w:cstheme="minorBidi"/>
          <w:color w:val="auto"/>
          <w:sz w:val="22"/>
          <w:szCs w:val="22"/>
        </w:rPr>
        <w:t xml:space="preserve">WASH </w:t>
      </w:r>
      <w:r w:rsidRPr="00017893">
        <w:rPr>
          <w:rFonts w:asciiTheme="minorHAnsi" w:hAnsiTheme="minorHAnsi" w:cstheme="minorBidi"/>
          <w:color w:val="auto"/>
          <w:sz w:val="22"/>
          <w:szCs w:val="22"/>
        </w:rPr>
        <w:t xml:space="preserve">au sein de leurs interventions sur la nutrition et c) d'améliorer </w:t>
      </w:r>
      <w:r w:rsidR="00224FE1">
        <w:rPr>
          <w:rFonts w:asciiTheme="minorHAnsi" w:hAnsiTheme="minorHAnsi" w:cstheme="minorBidi"/>
          <w:color w:val="auto"/>
          <w:sz w:val="22"/>
          <w:szCs w:val="22"/>
        </w:rPr>
        <w:t>la stratégie d’intervention dans le sud, pour apporter une assistance ciblée</w:t>
      </w:r>
      <w:r w:rsidRPr="00017893">
        <w:rPr>
          <w:rFonts w:asciiTheme="minorHAnsi" w:hAnsiTheme="minorHAnsi" w:cstheme="minorBidi"/>
          <w:color w:val="auto"/>
          <w:sz w:val="22"/>
          <w:szCs w:val="22"/>
        </w:rPr>
        <w:t xml:space="preserve"> </w:t>
      </w:r>
      <w:r w:rsidR="00224FE1">
        <w:rPr>
          <w:rFonts w:asciiTheme="minorHAnsi" w:hAnsiTheme="minorHAnsi" w:cstheme="minorBidi"/>
          <w:color w:val="auto"/>
          <w:sz w:val="22"/>
          <w:szCs w:val="22"/>
        </w:rPr>
        <w:t xml:space="preserve">aux personnes les plus vulnérables de </w:t>
      </w:r>
      <w:r w:rsidRPr="00017893">
        <w:rPr>
          <w:rFonts w:asciiTheme="minorHAnsi" w:hAnsiTheme="minorHAnsi" w:cstheme="minorBidi"/>
          <w:color w:val="auto"/>
          <w:sz w:val="22"/>
          <w:szCs w:val="22"/>
        </w:rPr>
        <w:t>déplacées et familles d'accueil</w:t>
      </w:r>
      <w:r w:rsidR="00224FE1">
        <w:rPr>
          <w:rFonts w:asciiTheme="minorHAnsi" w:hAnsiTheme="minorHAnsi" w:cstheme="minorBidi"/>
          <w:color w:val="auto"/>
          <w:sz w:val="22"/>
          <w:szCs w:val="22"/>
        </w:rPr>
        <w:t>,</w:t>
      </w:r>
      <w:r w:rsidRPr="00017893">
        <w:rPr>
          <w:rFonts w:asciiTheme="minorHAnsi" w:hAnsiTheme="minorHAnsi" w:cstheme="minorBidi"/>
          <w:color w:val="auto"/>
          <w:sz w:val="22"/>
          <w:szCs w:val="22"/>
        </w:rPr>
        <w:t xml:space="preserve"> et de mobiliser des fonds et des partenaires dans le nord afin d'amplifier la riposte WASH pour la population touchées par le conflit .</w:t>
      </w:r>
    </w:p>
    <w:p w:rsidR="00C12533" w:rsidRPr="00017893" w:rsidRDefault="00224FE1" w:rsidP="00C12533">
      <w:pPr>
        <w:pStyle w:val="Default"/>
        <w:ind w:left="0" w:firstLine="0"/>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Enfin, le manque de financement est très important. Les partenaires du cluster WASH ont estimé en mai à 23,5 millions de dollars (USD) les besoins pour le Mali. Seuls 5% du montant total ont été reçus </w:t>
      </w:r>
      <w:r>
        <w:rPr>
          <w:rFonts w:asciiTheme="minorHAnsi" w:hAnsiTheme="minorHAnsi" w:cstheme="minorBidi"/>
          <w:color w:val="auto"/>
          <w:sz w:val="22"/>
          <w:szCs w:val="22"/>
        </w:rPr>
        <w:lastRenderedPageBreak/>
        <w:t xml:space="preserve">jusqu’alors, ce qui rend à ce jour, impossible le passage à l’échelle par les partenaires en présence et la mise en œuvre d’une réponse adaptée aux énormes besoins du Mali.  </w:t>
      </w:r>
    </w:p>
    <w:p w:rsidR="008E0F9F" w:rsidRPr="00CC43B2" w:rsidRDefault="008E0F9F" w:rsidP="00794F9C">
      <w:pPr>
        <w:pStyle w:val="ListParagraph"/>
        <w:numPr>
          <w:ilvl w:val="0"/>
          <w:numId w:val="1"/>
        </w:numPr>
        <w:rPr>
          <w:sz w:val="32"/>
        </w:rPr>
      </w:pPr>
      <w:proofErr w:type="spellStart"/>
      <w:r w:rsidRPr="005B4C32">
        <w:rPr>
          <w:sz w:val="32"/>
          <w:lang w:val="en-US"/>
        </w:rPr>
        <w:t>Principes</w:t>
      </w:r>
      <w:proofErr w:type="spellEnd"/>
      <w:r w:rsidRPr="005B4C32">
        <w:rPr>
          <w:sz w:val="32"/>
          <w:lang w:val="en-US"/>
        </w:rPr>
        <w:t xml:space="preserve"> </w:t>
      </w:r>
      <w:proofErr w:type="spellStart"/>
      <w:r w:rsidR="005B4C32" w:rsidRPr="005B4C32">
        <w:rPr>
          <w:sz w:val="32"/>
          <w:lang w:val="en-US"/>
        </w:rPr>
        <w:t>d</w:t>
      </w:r>
      <w:r w:rsidR="005B4C32">
        <w:rPr>
          <w:sz w:val="32"/>
          <w:lang w:val="en-US"/>
        </w:rPr>
        <w:t>irecteurs</w:t>
      </w:r>
      <w:proofErr w:type="spellEnd"/>
    </w:p>
    <w:p w:rsidR="00017893" w:rsidRDefault="00017893" w:rsidP="008E0F9F">
      <w:pPr>
        <w:rPr>
          <w:u w:val="single"/>
        </w:rPr>
      </w:pPr>
      <w:r>
        <w:rPr>
          <w:u w:val="single"/>
        </w:rPr>
        <w:t xml:space="preserve">Respect des principes humanitaires et </w:t>
      </w:r>
      <w:r w:rsidR="00224FE1">
        <w:rPr>
          <w:u w:val="single"/>
        </w:rPr>
        <w:t xml:space="preserve">de </w:t>
      </w:r>
      <w:r>
        <w:rPr>
          <w:u w:val="single"/>
        </w:rPr>
        <w:t>l’approche « ne pas nuire » lors de la définition</w:t>
      </w:r>
      <w:r w:rsidR="00C12533">
        <w:rPr>
          <w:u w:val="single"/>
        </w:rPr>
        <w:t>, de la mise en œuvre et du suivi et évaluation</w:t>
      </w:r>
      <w:r>
        <w:rPr>
          <w:u w:val="single"/>
        </w:rPr>
        <w:t xml:space="preserve"> </w:t>
      </w:r>
      <w:r w:rsidR="00C12533">
        <w:rPr>
          <w:u w:val="single"/>
        </w:rPr>
        <w:t>des</w:t>
      </w:r>
      <w:r>
        <w:rPr>
          <w:u w:val="single"/>
        </w:rPr>
        <w:t xml:space="preserve"> interventions</w:t>
      </w:r>
    </w:p>
    <w:p w:rsidR="00017893" w:rsidRPr="00017893" w:rsidRDefault="00017893" w:rsidP="00794F9C">
      <w:pPr>
        <w:pStyle w:val="ListParagraph"/>
        <w:numPr>
          <w:ilvl w:val="0"/>
          <w:numId w:val="10"/>
        </w:numPr>
        <w:autoSpaceDE w:val="0"/>
        <w:autoSpaceDN w:val="0"/>
        <w:adjustRightInd w:val="0"/>
        <w:spacing w:before="0" w:after="162" w:line="240" w:lineRule="auto"/>
        <w:ind w:left="426"/>
        <w:jc w:val="both"/>
        <w:rPr>
          <w:rFonts w:asciiTheme="minorHAnsi" w:hAnsiTheme="minorHAnsi" w:cstheme="minorHAnsi"/>
        </w:rPr>
      </w:pPr>
      <w:r>
        <w:rPr>
          <w:rFonts w:asciiTheme="minorHAnsi" w:hAnsiTheme="minorHAnsi" w:cstheme="minorHAnsi"/>
        </w:rPr>
        <w:t>Les acteurs partenaires du cluster WASH connaissent et assurent le respect en tout et pour tout des principes humanitaires dans leur</w:t>
      </w:r>
      <w:r w:rsidR="00224FE1">
        <w:rPr>
          <w:rFonts w:asciiTheme="minorHAnsi" w:hAnsiTheme="minorHAnsi" w:cstheme="minorHAnsi"/>
        </w:rPr>
        <w:t>s</w:t>
      </w:r>
      <w:r>
        <w:rPr>
          <w:rFonts w:asciiTheme="minorHAnsi" w:hAnsiTheme="minorHAnsi" w:cstheme="minorHAnsi"/>
        </w:rPr>
        <w:t xml:space="preserve"> intervention</w:t>
      </w:r>
      <w:r w:rsidR="00224FE1">
        <w:rPr>
          <w:rFonts w:asciiTheme="minorHAnsi" w:hAnsiTheme="minorHAnsi" w:cstheme="minorHAnsi"/>
        </w:rPr>
        <w:t>s</w:t>
      </w:r>
      <w:r>
        <w:rPr>
          <w:rFonts w:asciiTheme="minorHAnsi" w:hAnsiTheme="minorHAnsi" w:cstheme="minorHAnsi"/>
        </w:rPr>
        <w:t xml:space="preserve"> et s’engagent à inclure une analyse de risques intégrant l’approche « ne pas nuire ».</w:t>
      </w:r>
    </w:p>
    <w:p w:rsidR="008E0F9F" w:rsidRPr="00327659" w:rsidRDefault="00F60F25" w:rsidP="008E0F9F">
      <w:pPr>
        <w:rPr>
          <w:u w:val="single"/>
        </w:rPr>
      </w:pPr>
      <w:r w:rsidRPr="00327659">
        <w:rPr>
          <w:u w:val="single"/>
        </w:rPr>
        <w:t xml:space="preserve">Coordination du cluster WASH </w:t>
      </w:r>
    </w:p>
    <w:p w:rsidR="005C3DFD" w:rsidRPr="005C3DFD" w:rsidRDefault="005C3DFD" w:rsidP="00794F9C">
      <w:pPr>
        <w:pStyle w:val="ListParagraph"/>
        <w:numPr>
          <w:ilvl w:val="0"/>
          <w:numId w:val="10"/>
        </w:numPr>
        <w:autoSpaceDE w:val="0"/>
        <w:autoSpaceDN w:val="0"/>
        <w:adjustRightInd w:val="0"/>
        <w:spacing w:before="0" w:after="162" w:line="240" w:lineRule="auto"/>
        <w:ind w:left="426"/>
        <w:jc w:val="both"/>
        <w:rPr>
          <w:rFonts w:asciiTheme="minorHAnsi" w:hAnsiTheme="minorHAnsi" w:cstheme="minorHAnsi"/>
        </w:rPr>
      </w:pPr>
      <w:r w:rsidRPr="005C3DFD">
        <w:rPr>
          <w:rFonts w:asciiTheme="minorHAnsi" w:hAnsiTheme="minorHAnsi" w:cstheme="minorHAnsi"/>
        </w:rPr>
        <w:t xml:space="preserve">Un Comité d’Orientation Stratégique a été </w:t>
      </w:r>
      <w:r w:rsidR="00224FE1">
        <w:rPr>
          <w:rFonts w:asciiTheme="minorHAnsi" w:hAnsiTheme="minorHAnsi" w:cstheme="minorHAnsi"/>
        </w:rPr>
        <w:t>formé d</w:t>
      </w:r>
      <w:r w:rsidRPr="005C3DFD">
        <w:rPr>
          <w:rFonts w:asciiTheme="minorHAnsi" w:hAnsiTheme="minorHAnsi" w:cstheme="minorHAnsi"/>
        </w:rPr>
        <w:t>ans le cadre de l’opéra</w:t>
      </w:r>
      <w:r w:rsidR="00224FE1">
        <w:rPr>
          <w:rFonts w:asciiTheme="minorHAnsi" w:hAnsiTheme="minorHAnsi" w:cstheme="minorHAnsi"/>
        </w:rPr>
        <w:t xml:space="preserve">tionnalisation du Cluster WASH. Par ailleurs, des </w:t>
      </w:r>
      <w:r w:rsidRPr="005C3DFD">
        <w:rPr>
          <w:rFonts w:asciiTheme="minorHAnsi" w:hAnsiTheme="minorHAnsi" w:cstheme="minorHAnsi"/>
        </w:rPr>
        <w:t xml:space="preserve">sous-clusters régionaux, permettant la coordination et la partage d’informations entre les acteurs sur le terrain et la fluidité de la production d’information </w:t>
      </w:r>
      <w:r w:rsidR="003545CC">
        <w:rPr>
          <w:rFonts w:asciiTheme="minorHAnsi" w:hAnsiTheme="minorHAnsi" w:cstheme="minorHAnsi"/>
        </w:rPr>
        <w:t xml:space="preserve">peuvent </w:t>
      </w:r>
      <w:r w:rsidRPr="005C3DFD">
        <w:rPr>
          <w:rFonts w:asciiTheme="minorHAnsi" w:hAnsiTheme="minorHAnsi" w:cstheme="minorHAnsi"/>
        </w:rPr>
        <w:t xml:space="preserve">être mis en place sur demande des partenaires. </w:t>
      </w:r>
    </w:p>
    <w:p w:rsidR="005C3DFD" w:rsidRPr="005C3DFD" w:rsidRDefault="005C3DFD" w:rsidP="005C3DFD">
      <w:pPr>
        <w:pStyle w:val="ListParagraph"/>
        <w:autoSpaceDE w:val="0"/>
        <w:autoSpaceDN w:val="0"/>
        <w:adjustRightInd w:val="0"/>
        <w:spacing w:before="0" w:after="162" w:line="240" w:lineRule="auto"/>
        <w:ind w:left="426" w:firstLine="0"/>
        <w:rPr>
          <w:rFonts w:asciiTheme="minorHAnsi" w:hAnsiTheme="minorHAnsi" w:cstheme="minorHAnsi"/>
        </w:rPr>
      </w:pPr>
    </w:p>
    <w:p w:rsidR="00E27B9E" w:rsidRPr="005C3DFD" w:rsidRDefault="00E27B9E" w:rsidP="00794F9C">
      <w:pPr>
        <w:pStyle w:val="ListParagraph"/>
        <w:numPr>
          <w:ilvl w:val="0"/>
          <w:numId w:val="10"/>
        </w:numPr>
        <w:autoSpaceDE w:val="0"/>
        <w:autoSpaceDN w:val="0"/>
        <w:adjustRightInd w:val="0"/>
        <w:spacing w:before="0" w:after="162" w:line="240" w:lineRule="auto"/>
        <w:ind w:left="426"/>
        <w:jc w:val="both"/>
        <w:rPr>
          <w:rFonts w:asciiTheme="minorHAnsi" w:hAnsiTheme="minorHAnsi" w:cstheme="minorHAnsi"/>
        </w:rPr>
      </w:pPr>
      <w:r w:rsidRPr="005C3DFD">
        <w:rPr>
          <w:rFonts w:asciiTheme="minorHAnsi" w:hAnsiTheme="minorHAnsi" w:cstheme="minorHAnsi"/>
        </w:rPr>
        <w:t xml:space="preserve">Il est attendu des partenaires du Cluster WASH qu’ils respectent le cadre opérationnel décrit dans ce document et soient prêts à s'engager </w:t>
      </w:r>
      <w:r>
        <w:rPr>
          <w:rFonts w:asciiTheme="minorHAnsi" w:hAnsiTheme="minorHAnsi" w:cstheme="minorHAnsi"/>
        </w:rPr>
        <w:t>activement à participer aux réunions du</w:t>
      </w:r>
      <w:r w:rsidRPr="005C3DFD">
        <w:rPr>
          <w:rFonts w:asciiTheme="minorHAnsi" w:hAnsiTheme="minorHAnsi" w:cstheme="minorHAnsi"/>
        </w:rPr>
        <w:t xml:space="preserve"> Cluster</w:t>
      </w:r>
      <w:r>
        <w:rPr>
          <w:rFonts w:asciiTheme="minorHAnsi" w:hAnsiTheme="minorHAnsi" w:cstheme="minorHAnsi"/>
        </w:rPr>
        <w:t xml:space="preserve"> et des groupes techniques pour assurer la coordination des intervenants, le partage des informations programmatiques et contribuer à améliorer l’expertise technique. </w:t>
      </w:r>
      <w:r w:rsidRPr="005C3DFD">
        <w:rPr>
          <w:rFonts w:asciiTheme="minorHAnsi" w:hAnsiTheme="minorHAnsi" w:cstheme="minorHAnsi"/>
        </w:rPr>
        <w:t xml:space="preserve"> </w:t>
      </w:r>
    </w:p>
    <w:p w:rsidR="00E27B9E" w:rsidRDefault="00E27B9E" w:rsidP="00E27B9E">
      <w:pPr>
        <w:pStyle w:val="ListParagraph"/>
        <w:autoSpaceDE w:val="0"/>
        <w:autoSpaceDN w:val="0"/>
        <w:adjustRightInd w:val="0"/>
        <w:spacing w:before="0" w:after="162" w:line="240" w:lineRule="auto"/>
        <w:ind w:left="426" w:firstLine="0"/>
        <w:jc w:val="both"/>
        <w:rPr>
          <w:rFonts w:asciiTheme="minorHAnsi" w:hAnsiTheme="minorHAnsi" w:cstheme="minorHAnsi"/>
        </w:rPr>
      </w:pPr>
    </w:p>
    <w:p w:rsidR="00E27B9E" w:rsidRPr="005C3DFD" w:rsidRDefault="00E27B9E" w:rsidP="00794F9C">
      <w:pPr>
        <w:pStyle w:val="ListParagraph"/>
        <w:numPr>
          <w:ilvl w:val="0"/>
          <w:numId w:val="10"/>
        </w:numPr>
        <w:autoSpaceDE w:val="0"/>
        <w:autoSpaceDN w:val="0"/>
        <w:adjustRightInd w:val="0"/>
        <w:spacing w:before="0" w:after="162" w:line="240" w:lineRule="auto"/>
        <w:ind w:left="426"/>
        <w:jc w:val="both"/>
        <w:rPr>
          <w:rFonts w:asciiTheme="minorHAnsi" w:hAnsiTheme="minorHAnsi" w:cstheme="minorHAnsi"/>
        </w:rPr>
      </w:pPr>
      <w:r w:rsidRPr="005C3DFD">
        <w:rPr>
          <w:rFonts w:asciiTheme="minorHAnsi" w:hAnsiTheme="minorHAnsi" w:cstheme="minorHAnsi"/>
        </w:rPr>
        <w:t xml:space="preserve">Les </w:t>
      </w:r>
      <w:r>
        <w:rPr>
          <w:rFonts w:asciiTheme="minorHAnsi" w:hAnsiTheme="minorHAnsi" w:cstheme="minorHAnsi"/>
        </w:rPr>
        <w:t xml:space="preserve">partenaires du cluster WASH s’engagent à participer dans des discussions ouvertes du cluster pour une mise à jour de ce </w:t>
      </w:r>
      <w:r w:rsidR="003545CC">
        <w:rPr>
          <w:rFonts w:asciiTheme="minorHAnsi" w:hAnsiTheme="minorHAnsi" w:cstheme="minorHAnsi"/>
        </w:rPr>
        <w:t>document</w:t>
      </w:r>
      <w:r>
        <w:rPr>
          <w:rFonts w:asciiTheme="minorHAnsi" w:hAnsiTheme="minorHAnsi" w:cstheme="minorHAnsi"/>
        </w:rPr>
        <w:t xml:space="preserve"> avant d’entreprendre toute action qui serait différente de ces lignes directrices. En cas de non respect de ces </w:t>
      </w:r>
      <w:r w:rsidRPr="005C3DFD">
        <w:rPr>
          <w:rFonts w:asciiTheme="minorHAnsi" w:hAnsiTheme="minorHAnsi" w:cstheme="minorHAnsi"/>
        </w:rPr>
        <w:t>lignes directrices</w:t>
      </w:r>
      <w:r>
        <w:rPr>
          <w:rFonts w:asciiTheme="minorHAnsi" w:hAnsiTheme="minorHAnsi" w:cstheme="minorHAnsi"/>
        </w:rPr>
        <w:t>, les partenaires</w:t>
      </w:r>
      <w:r w:rsidRPr="005C3DFD">
        <w:rPr>
          <w:rFonts w:asciiTheme="minorHAnsi" w:hAnsiTheme="minorHAnsi" w:cstheme="minorHAnsi"/>
        </w:rPr>
        <w:t xml:space="preserve"> seront tenues de fournir des justifications claires aux autres partenaires du Cluster WASH par le biais du Comité d’Orientation Stratégique quand un plus large consensus ne s’est pas avéré possible. </w:t>
      </w:r>
    </w:p>
    <w:p w:rsidR="00E27B9E" w:rsidRPr="00E27B9E" w:rsidRDefault="00E27B9E" w:rsidP="00E27B9E">
      <w:pPr>
        <w:pStyle w:val="ListParagraph"/>
        <w:rPr>
          <w:rFonts w:asciiTheme="minorHAnsi" w:hAnsiTheme="minorHAnsi" w:cstheme="minorHAnsi"/>
        </w:rPr>
      </w:pPr>
    </w:p>
    <w:p w:rsidR="005C3DFD" w:rsidRPr="005C3DFD" w:rsidRDefault="005C3DFD" w:rsidP="00794F9C">
      <w:pPr>
        <w:pStyle w:val="ListParagraph"/>
        <w:numPr>
          <w:ilvl w:val="0"/>
          <w:numId w:val="10"/>
        </w:numPr>
        <w:autoSpaceDE w:val="0"/>
        <w:autoSpaceDN w:val="0"/>
        <w:adjustRightInd w:val="0"/>
        <w:spacing w:before="0" w:after="162" w:line="240" w:lineRule="auto"/>
        <w:ind w:left="426"/>
        <w:jc w:val="both"/>
        <w:rPr>
          <w:rFonts w:asciiTheme="minorHAnsi" w:hAnsiTheme="minorHAnsi" w:cstheme="minorHAnsi"/>
        </w:rPr>
      </w:pPr>
      <w:r w:rsidRPr="005C3DFD">
        <w:rPr>
          <w:rFonts w:asciiTheme="minorHAnsi" w:hAnsiTheme="minorHAnsi" w:cstheme="minorHAnsi"/>
        </w:rPr>
        <w:t xml:space="preserve">Le cluster </w:t>
      </w:r>
      <w:r>
        <w:rPr>
          <w:rFonts w:asciiTheme="minorHAnsi" w:hAnsiTheme="minorHAnsi" w:cstheme="minorHAnsi"/>
        </w:rPr>
        <w:t>WASH</w:t>
      </w:r>
      <w:r w:rsidR="00E27B9E">
        <w:rPr>
          <w:rFonts w:asciiTheme="minorHAnsi" w:hAnsiTheme="minorHAnsi" w:cstheme="minorHAnsi"/>
        </w:rPr>
        <w:t xml:space="preserve"> travaille</w:t>
      </w:r>
      <w:r w:rsidRPr="005C3DFD">
        <w:rPr>
          <w:rFonts w:asciiTheme="minorHAnsi" w:hAnsiTheme="minorHAnsi" w:cstheme="minorHAnsi"/>
        </w:rPr>
        <w:t xml:space="preserve"> en étroite collaboration avec les Clusters Santé, Nutrition et Sécurité Alimentaire notamment pour définir les zones d’évaluation et </w:t>
      </w:r>
      <w:r w:rsidR="008228CF">
        <w:rPr>
          <w:rFonts w:asciiTheme="minorHAnsi" w:hAnsiTheme="minorHAnsi" w:cstheme="minorHAnsi"/>
        </w:rPr>
        <w:t xml:space="preserve">le cadre des </w:t>
      </w:r>
      <w:r w:rsidRPr="005C3DFD">
        <w:rPr>
          <w:rFonts w:asciiTheme="minorHAnsi" w:hAnsiTheme="minorHAnsi" w:cstheme="minorHAnsi"/>
        </w:rPr>
        <w:t>intervention</w:t>
      </w:r>
      <w:r w:rsidR="008228CF">
        <w:rPr>
          <w:rFonts w:asciiTheme="minorHAnsi" w:hAnsiTheme="minorHAnsi" w:cstheme="minorHAnsi"/>
        </w:rPr>
        <w:t>s</w:t>
      </w:r>
      <w:r w:rsidRPr="005C3DFD">
        <w:rPr>
          <w:rFonts w:asciiTheme="minorHAnsi" w:hAnsiTheme="minorHAnsi" w:cstheme="minorHAnsi"/>
        </w:rPr>
        <w:t xml:space="preserve"> prioritaires</w:t>
      </w:r>
      <w:r w:rsidR="008228CF">
        <w:rPr>
          <w:rFonts w:asciiTheme="minorHAnsi" w:hAnsiTheme="minorHAnsi" w:cstheme="minorHAnsi"/>
        </w:rPr>
        <w:t xml:space="preserve"> </w:t>
      </w:r>
      <w:r w:rsidR="003545CC">
        <w:rPr>
          <w:rFonts w:asciiTheme="minorHAnsi" w:hAnsiTheme="minorHAnsi" w:cstheme="minorHAnsi"/>
        </w:rPr>
        <w:t xml:space="preserve">à mettre en œuvre </w:t>
      </w:r>
      <w:r w:rsidR="008228CF">
        <w:rPr>
          <w:rFonts w:asciiTheme="minorHAnsi" w:hAnsiTheme="minorHAnsi" w:cstheme="minorHAnsi"/>
        </w:rPr>
        <w:t>en synergie.</w:t>
      </w:r>
    </w:p>
    <w:p w:rsidR="005C3DFD" w:rsidRDefault="005C3DFD" w:rsidP="008228CF">
      <w:pPr>
        <w:pStyle w:val="ListParagraph"/>
        <w:tabs>
          <w:tab w:val="left" w:pos="8505"/>
        </w:tabs>
        <w:autoSpaceDE w:val="0"/>
        <w:autoSpaceDN w:val="0"/>
        <w:adjustRightInd w:val="0"/>
        <w:spacing w:before="0" w:after="162" w:line="240" w:lineRule="auto"/>
        <w:ind w:left="426" w:firstLine="0"/>
        <w:jc w:val="both"/>
        <w:rPr>
          <w:rFonts w:asciiTheme="minorHAnsi" w:hAnsiTheme="minorHAnsi" w:cstheme="minorHAnsi"/>
        </w:rPr>
      </w:pPr>
    </w:p>
    <w:p w:rsidR="0036791E" w:rsidRDefault="0036791E" w:rsidP="00794F9C">
      <w:pPr>
        <w:pStyle w:val="ListParagraph"/>
        <w:numPr>
          <w:ilvl w:val="0"/>
          <w:numId w:val="10"/>
        </w:numPr>
        <w:autoSpaceDE w:val="0"/>
        <w:autoSpaceDN w:val="0"/>
        <w:adjustRightInd w:val="0"/>
        <w:spacing w:before="0" w:after="162" w:line="240" w:lineRule="auto"/>
        <w:ind w:left="426"/>
        <w:jc w:val="both"/>
        <w:rPr>
          <w:rFonts w:asciiTheme="minorHAnsi" w:hAnsiTheme="minorHAnsi" w:cstheme="minorHAnsi"/>
        </w:rPr>
      </w:pPr>
      <w:r w:rsidRPr="005C3DFD">
        <w:rPr>
          <w:rFonts w:asciiTheme="minorHAnsi" w:hAnsiTheme="minorHAnsi" w:cstheme="minorHAnsi"/>
        </w:rPr>
        <w:t xml:space="preserve">Toutes les communications émanant du Cluster doivent être en français dans la mesure du possible. Les présentations orales </w:t>
      </w:r>
      <w:r w:rsidR="005C3DFD" w:rsidRPr="005C3DFD">
        <w:rPr>
          <w:rFonts w:asciiTheme="minorHAnsi" w:hAnsiTheme="minorHAnsi" w:cstheme="minorHAnsi"/>
        </w:rPr>
        <w:t xml:space="preserve">et les rapports d’évaluation des partenaires </w:t>
      </w:r>
      <w:r w:rsidRPr="005C3DFD">
        <w:rPr>
          <w:rFonts w:asciiTheme="minorHAnsi" w:hAnsiTheme="minorHAnsi" w:cstheme="minorHAnsi"/>
        </w:rPr>
        <w:t xml:space="preserve">doivent être </w:t>
      </w:r>
      <w:r w:rsidR="005C3DFD" w:rsidRPr="005C3DFD">
        <w:rPr>
          <w:rFonts w:asciiTheme="minorHAnsi" w:hAnsiTheme="minorHAnsi" w:cstheme="minorHAnsi"/>
        </w:rPr>
        <w:t>en français</w:t>
      </w:r>
      <w:r w:rsidRPr="005C3DFD">
        <w:rPr>
          <w:rFonts w:asciiTheme="minorHAnsi" w:hAnsiTheme="minorHAnsi" w:cstheme="minorHAnsi"/>
        </w:rPr>
        <w:t xml:space="preserve">. </w:t>
      </w:r>
    </w:p>
    <w:p w:rsidR="003545CC" w:rsidRPr="003545CC" w:rsidRDefault="003545CC" w:rsidP="003545CC">
      <w:pPr>
        <w:pStyle w:val="ListParagraph"/>
        <w:rPr>
          <w:rFonts w:asciiTheme="minorHAnsi" w:hAnsiTheme="minorHAnsi" w:cstheme="minorHAnsi"/>
        </w:rPr>
      </w:pPr>
    </w:p>
    <w:p w:rsidR="003545CC" w:rsidRPr="003545CC" w:rsidRDefault="003545CC" w:rsidP="00794F9C">
      <w:pPr>
        <w:pStyle w:val="ListParagraph"/>
        <w:numPr>
          <w:ilvl w:val="0"/>
          <w:numId w:val="10"/>
        </w:numPr>
        <w:autoSpaceDE w:val="0"/>
        <w:autoSpaceDN w:val="0"/>
        <w:adjustRightInd w:val="0"/>
        <w:spacing w:before="0" w:after="162" w:line="240" w:lineRule="auto"/>
        <w:ind w:left="426"/>
        <w:jc w:val="both"/>
        <w:rPr>
          <w:rFonts w:asciiTheme="minorHAnsi" w:hAnsiTheme="minorHAnsi" w:cstheme="minorHAnsi"/>
        </w:rPr>
      </w:pPr>
      <w:r>
        <w:rPr>
          <w:rStyle w:val="longtext"/>
          <w:rFonts w:asciiTheme="minorHAnsi" w:hAnsiTheme="minorHAnsi" w:cstheme="minorHAnsi"/>
          <w:szCs w:val="30"/>
        </w:rPr>
        <w:t>L</w:t>
      </w:r>
      <w:r w:rsidRPr="003545CC">
        <w:rPr>
          <w:rStyle w:val="longtext"/>
          <w:rFonts w:asciiTheme="minorHAnsi" w:hAnsiTheme="minorHAnsi" w:cstheme="minorHAnsi"/>
          <w:szCs w:val="30"/>
        </w:rPr>
        <w:t xml:space="preserve">’allocation des fonds </w:t>
      </w:r>
      <w:r>
        <w:rPr>
          <w:rStyle w:val="longtext"/>
          <w:rFonts w:asciiTheme="minorHAnsi" w:hAnsiTheme="minorHAnsi" w:cstheme="minorHAnsi"/>
          <w:szCs w:val="30"/>
        </w:rPr>
        <w:t xml:space="preserve">ou de matériels </w:t>
      </w:r>
      <w:r w:rsidRPr="003545CC">
        <w:rPr>
          <w:rStyle w:val="longtext"/>
          <w:rFonts w:asciiTheme="minorHAnsi" w:hAnsiTheme="minorHAnsi" w:cstheme="minorHAnsi"/>
          <w:szCs w:val="30"/>
        </w:rPr>
        <w:t>commun (</w:t>
      </w:r>
      <w:r>
        <w:rPr>
          <w:rStyle w:val="longtext"/>
          <w:rFonts w:asciiTheme="minorHAnsi" w:hAnsiTheme="minorHAnsi" w:cstheme="minorHAnsi"/>
          <w:szCs w:val="30"/>
        </w:rPr>
        <w:t xml:space="preserve">ex : </w:t>
      </w:r>
      <w:r w:rsidRPr="003545CC">
        <w:rPr>
          <w:rStyle w:val="longtext"/>
          <w:rFonts w:asciiTheme="minorHAnsi" w:hAnsiTheme="minorHAnsi" w:cstheme="minorHAnsi"/>
          <w:szCs w:val="30"/>
        </w:rPr>
        <w:t>« </w:t>
      </w:r>
      <w:proofErr w:type="spellStart"/>
      <w:r w:rsidRPr="003545CC">
        <w:rPr>
          <w:rStyle w:val="longtext"/>
          <w:rFonts w:asciiTheme="minorHAnsi" w:hAnsiTheme="minorHAnsi" w:cstheme="minorHAnsi"/>
          <w:szCs w:val="30"/>
        </w:rPr>
        <w:t>pooled</w:t>
      </w:r>
      <w:proofErr w:type="spellEnd"/>
      <w:r w:rsidRPr="003545CC">
        <w:rPr>
          <w:rStyle w:val="longtext"/>
          <w:rFonts w:asciiTheme="minorHAnsi" w:hAnsiTheme="minorHAnsi" w:cstheme="minorHAnsi"/>
          <w:szCs w:val="30"/>
        </w:rPr>
        <w:t xml:space="preserve"> </w:t>
      </w:r>
      <w:proofErr w:type="spellStart"/>
      <w:r w:rsidRPr="003545CC">
        <w:rPr>
          <w:rStyle w:val="longtext"/>
          <w:rFonts w:asciiTheme="minorHAnsi" w:hAnsiTheme="minorHAnsi" w:cstheme="minorHAnsi"/>
          <w:szCs w:val="30"/>
        </w:rPr>
        <w:t>funds</w:t>
      </w:r>
      <w:proofErr w:type="spellEnd"/>
      <w:r w:rsidRPr="003545CC">
        <w:rPr>
          <w:rStyle w:val="longtext"/>
          <w:rFonts w:asciiTheme="minorHAnsi" w:hAnsiTheme="minorHAnsi" w:cstheme="minorHAnsi"/>
          <w:szCs w:val="30"/>
        </w:rPr>
        <w:t> »</w:t>
      </w:r>
      <w:r>
        <w:rPr>
          <w:rStyle w:val="longtext"/>
          <w:rFonts w:asciiTheme="minorHAnsi" w:hAnsiTheme="minorHAnsi" w:cstheme="minorHAnsi"/>
          <w:szCs w:val="30"/>
        </w:rPr>
        <w:t>, stock de contingence régionaux</w:t>
      </w:r>
      <w:r w:rsidRPr="003545CC">
        <w:rPr>
          <w:rStyle w:val="longtext"/>
          <w:rFonts w:asciiTheme="minorHAnsi" w:hAnsiTheme="minorHAnsi" w:cstheme="minorHAnsi"/>
          <w:szCs w:val="30"/>
        </w:rPr>
        <w:t>) disponibles pour le</w:t>
      </w:r>
      <w:r>
        <w:rPr>
          <w:rStyle w:val="longtext"/>
          <w:rFonts w:asciiTheme="minorHAnsi" w:hAnsiTheme="minorHAnsi" w:cstheme="minorHAnsi"/>
          <w:szCs w:val="30"/>
        </w:rPr>
        <w:t>s partenaires du</w:t>
      </w:r>
      <w:r w:rsidRPr="003545CC">
        <w:rPr>
          <w:rStyle w:val="longtext"/>
          <w:rFonts w:asciiTheme="minorHAnsi" w:hAnsiTheme="minorHAnsi" w:cstheme="minorHAnsi"/>
          <w:szCs w:val="30"/>
        </w:rPr>
        <w:t xml:space="preserve"> cluster</w:t>
      </w:r>
      <w:r>
        <w:rPr>
          <w:rStyle w:val="longtext"/>
          <w:rFonts w:asciiTheme="minorHAnsi" w:hAnsiTheme="minorHAnsi" w:cstheme="minorHAnsi"/>
          <w:szCs w:val="30"/>
        </w:rPr>
        <w:t xml:space="preserve"> se fera en respectant la priorisation en fonction du degré de vulnérabilité des populations à assister, les zones prioritaires d’intervention et des capacités de mise en œuvre des partenaires. </w:t>
      </w:r>
    </w:p>
    <w:p w:rsidR="00F60F25" w:rsidRPr="00327659" w:rsidRDefault="00F60F25" w:rsidP="00F60F25">
      <w:pPr>
        <w:rPr>
          <w:u w:val="single"/>
        </w:rPr>
      </w:pPr>
      <w:r w:rsidRPr="00327659">
        <w:rPr>
          <w:u w:val="single"/>
        </w:rPr>
        <w:t xml:space="preserve">Gestion de l’information WASH </w:t>
      </w:r>
    </w:p>
    <w:p w:rsidR="00AA2CFD" w:rsidRDefault="00AA2CFD" w:rsidP="00794F9C">
      <w:pPr>
        <w:pStyle w:val="ListParagraph"/>
        <w:numPr>
          <w:ilvl w:val="0"/>
          <w:numId w:val="10"/>
        </w:numPr>
        <w:autoSpaceDE w:val="0"/>
        <w:autoSpaceDN w:val="0"/>
        <w:adjustRightInd w:val="0"/>
        <w:spacing w:after="0" w:line="240" w:lineRule="auto"/>
        <w:ind w:left="426"/>
        <w:jc w:val="both"/>
        <w:rPr>
          <w:rFonts w:asciiTheme="minorHAnsi" w:hAnsiTheme="minorHAnsi" w:cstheme="minorHAnsi"/>
          <w:sz w:val="23"/>
          <w:szCs w:val="23"/>
        </w:rPr>
      </w:pPr>
      <w:r>
        <w:rPr>
          <w:rFonts w:asciiTheme="minorHAnsi" w:hAnsiTheme="minorHAnsi" w:cstheme="minorHAnsi"/>
          <w:sz w:val="23"/>
          <w:szCs w:val="23"/>
        </w:rPr>
        <w:t>L’équipe de coordination du cluster WASH s’engage à développer</w:t>
      </w:r>
      <w:r w:rsidRPr="00AA2CFD">
        <w:rPr>
          <w:rFonts w:asciiTheme="minorHAnsi" w:hAnsiTheme="minorHAnsi" w:cstheme="minorHAnsi"/>
          <w:sz w:val="23"/>
          <w:szCs w:val="23"/>
        </w:rPr>
        <w:t xml:space="preserve"> un système de gestion de </w:t>
      </w:r>
      <w:r w:rsidRPr="00AA2CFD">
        <w:rPr>
          <w:rFonts w:asciiTheme="minorHAnsi" w:hAnsiTheme="minorHAnsi" w:cstheme="minorHAnsi"/>
        </w:rPr>
        <w:t>l’information dynamique et réactif permettant une prise de décision rapide sur la base d’indicateurs relatifs au contexte, risques sanitaires, à la capacité des partenaires, suivi de la couverture – failles et redondances</w:t>
      </w:r>
      <w:r w:rsidRPr="00AA2CFD">
        <w:rPr>
          <w:rFonts w:asciiTheme="minorHAnsi" w:hAnsiTheme="minorHAnsi" w:cstheme="minorHAnsi"/>
          <w:sz w:val="23"/>
          <w:szCs w:val="23"/>
        </w:rPr>
        <w:t>.</w:t>
      </w:r>
      <w:r>
        <w:rPr>
          <w:rFonts w:asciiTheme="minorHAnsi" w:hAnsiTheme="minorHAnsi" w:cstheme="minorHAnsi"/>
          <w:sz w:val="23"/>
          <w:szCs w:val="23"/>
        </w:rPr>
        <w:t xml:space="preserve"> </w:t>
      </w:r>
    </w:p>
    <w:p w:rsidR="00AA2CFD" w:rsidRPr="00AA2CFD" w:rsidRDefault="00AA2CFD" w:rsidP="00AA2CFD">
      <w:pPr>
        <w:pStyle w:val="ListParagraph"/>
        <w:autoSpaceDE w:val="0"/>
        <w:autoSpaceDN w:val="0"/>
        <w:adjustRightInd w:val="0"/>
        <w:spacing w:after="0" w:line="240" w:lineRule="auto"/>
        <w:ind w:left="426" w:firstLine="0"/>
        <w:jc w:val="both"/>
        <w:rPr>
          <w:rFonts w:asciiTheme="minorHAnsi" w:hAnsiTheme="minorHAnsi" w:cstheme="minorHAnsi"/>
          <w:sz w:val="23"/>
          <w:szCs w:val="23"/>
        </w:rPr>
      </w:pPr>
    </w:p>
    <w:p w:rsidR="00F60F25" w:rsidRPr="00AA2CFD" w:rsidRDefault="008228CF" w:rsidP="00794F9C">
      <w:pPr>
        <w:pStyle w:val="ListParagraph"/>
        <w:numPr>
          <w:ilvl w:val="0"/>
          <w:numId w:val="10"/>
        </w:numPr>
        <w:autoSpaceDE w:val="0"/>
        <w:autoSpaceDN w:val="0"/>
        <w:adjustRightInd w:val="0"/>
        <w:spacing w:after="0" w:line="240" w:lineRule="auto"/>
        <w:ind w:left="426"/>
        <w:jc w:val="both"/>
        <w:rPr>
          <w:sz w:val="18"/>
          <w:szCs w:val="18"/>
        </w:rPr>
      </w:pPr>
      <w:r w:rsidRPr="00AA2CFD">
        <w:rPr>
          <w:rFonts w:asciiTheme="minorHAnsi" w:hAnsiTheme="minorHAnsi" w:cstheme="minorHAnsi"/>
          <w:sz w:val="23"/>
          <w:szCs w:val="23"/>
        </w:rPr>
        <w:lastRenderedPageBreak/>
        <w:t xml:space="preserve">Chaque partenaire s’engage </w:t>
      </w:r>
      <w:r w:rsidR="00AA2CFD" w:rsidRPr="00AA2CFD">
        <w:rPr>
          <w:rFonts w:asciiTheme="minorHAnsi" w:hAnsiTheme="minorHAnsi" w:cstheme="minorHAnsi"/>
          <w:sz w:val="23"/>
          <w:szCs w:val="23"/>
        </w:rPr>
        <w:t>à p</w:t>
      </w:r>
      <w:r w:rsidR="0036791E" w:rsidRPr="00AA2CFD">
        <w:rPr>
          <w:rFonts w:asciiTheme="minorHAnsi" w:hAnsiTheme="minorHAnsi" w:cstheme="minorHAnsi"/>
          <w:sz w:val="23"/>
          <w:szCs w:val="23"/>
        </w:rPr>
        <w:t>artager l’information, faire des rapports sur les ac</w:t>
      </w:r>
      <w:r w:rsidRPr="00AA2CFD">
        <w:rPr>
          <w:rFonts w:asciiTheme="minorHAnsi" w:hAnsiTheme="minorHAnsi" w:cstheme="minorHAnsi"/>
          <w:sz w:val="23"/>
          <w:szCs w:val="23"/>
        </w:rPr>
        <w:t>tivités et plans futurs, avec le</w:t>
      </w:r>
      <w:r w:rsidR="0036791E" w:rsidRPr="00AA2CFD">
        <w:rPr>
          <w:rFonts w:asciiTheme="minorHAnsi" w:hAnsiTheme="minorHAnsi" w:cstheme="minorHAnsi"/>
          <w:sz w:val="23"/>
          <w:szCs w:val="23"/>
        </w:rPr>
        <w:t xml:space="preserve"> Gestion</w:t>
      </w:r>
      <w:r w:rsidRPr="00AA2CFD">
        <w:rPr>
          <w:rFonts w:asciiTheme="minorHAnsi" w:hAnsiTheme="minorHAnsi" w:cstheme="minorHAnsi"/>
          <w:sz w:val="23"/>
          <w:szCs w:val="23"/>
        </w:rPr>
        <w:t>naire</w:t>
      </w:r>
      <w:r w:rsidR="0036791E" w:rsidRPr="00AA2CFD">
        <w:rPr>
          <w:rFonts w:asciiTheme="minorHAnsi" w:hAnsiTheme="minorHAnsi" w:cstheme="minorHAnsi"/>
          <w:sz w:val="23"/>
          <w:szCs w:val="23"/>
        </w:rPr>
        <w:t xml:space="preserve"> de l’Information du WASH Cluster sur une base régulière</w:t>
      </w:r>
      <w:r w:rsidR="00AA2CFD">
        <w:rPr>
          <w:rFonts w:asciiTheme="minorHAnsi" w:hAnsiTheme="minorHAnsi" w:cstheme="minorHAnsi"/>
          <w:sz w:val="23"/>
          <w:szCs w:val="23"/>
        </w:rPr>
        <w:t>.</w:t>
      </w:r>
    </w:p>
    <w:p w:rsidR="00F60F25" w:rsidRPr="00AA2CFD" w:rsidRDefault="00F60F25" w:rsidP="00F60F25">
      <w:pPr>
        <w:rPr>
          <w:u w:val="single"/>
        </w:rPr>
      </w:pPr>
      <w:r w:rsidRPr="00AA2CFD">
        <w:rPr>
          <w:u w:val="single"/>
        </w:rPr>
        <w:t>Standards WASH</w:t>
      </w:r>
    </w:p>
    <w:p w:rsidR="00AA2CFD" w:rsidRDefault="0036791E" w:rsidP="00794F9C">
      <w:pPr>
        <w:pStyle w:val="ListParagraph"/>
        <w:numPr>
          <w:ilvl w:val="0"/>
          <w:numId w:val="10"/>
        </w:numPr>
        <w:autoSpaceDE w:val="0"/>
        <w:autoSpaceDN w:val="0"/>
        <w:adjustRightInd w:val="0"/>
        <w:spacing w:after="0" w:line="240" w:lineRule="auto"/>
        <w:ind w:left="426"/>
        <w:jc w:val="both"/>
        <w:rPr>
          <w:rFonts w:asciiTheme="minorHAnsi" w:hAnsiTheme="minorHAnsi" w:cstheme="minorHAnsi"/>
          <w:sz w:val="23"/>
          <w:szCs w:val="23"/>
        </w:rPr>
      </w:pPr>
      <w:r w:rsidRPr="00AA2CFD">
        <w:rPr>
          <w:rFonts w:asciiTheme="minorHAnsi" w:hAnsiTheme="minorHAnsi" w:cstheme="minorHAnsi"/>
          <w:sz w:val="23"/>
          <w:szCs w:val="23"/>
        </w:rPr>
        <w:t xml:space="preserve">Au minimum, </w:t>
      </w:r>
      <w:r w:rsidR="003545CC">
        <w:rPr>
          <w:rFonts w:asciiTheme="minorHAnsi" w:hAnsiTheme="minorHAnsi" w:cstheme="minorHAnsi"/>
          <w:sz w:val="23"/>
          <w:szCs w:val="23"/>
        </w:rPr>
        <w:t>chaque partenaire adhère dans sa mise en œuvre,</w:t>
      </w:r>
      <w:r w:rsidRPr="00AA2CFD">
        <w:rPr>
          <w:rFonts w:asciiTheme="minorHAnsi" w:hAnsiTheme="minorHAnsi" w:cstheme="minorHAnsi"/>
          <w:sz w:val="23"/>
          <w:szCs w:val="23"/>
        </w:rPr>
        <w:t xml:space="preserve"> aux standards définis par le Cluster. Là où l’adaptation aux réalités locales est nécessaire, ceci sera décidé par le </w:t>
      </w:r>
      <w:r w:rsidR="00AA2CFD">
        <w:rPr>
          <w:rFonts w:asciiTheme="minorHAnsi" w:hAnsiTheme="minorHAnsi" w:cstheme="minorHAnsi"/>
          <w:sz w:val="23"/>
          <w:szCs w:val="23"/>
        </w:rPr>
        <w:t>Comité d’Orientation Stratégique</w:t>
      </w:r>
      <w:r w:rsidRPr="00AA2CFD">
        <w:rPr>
          <w:rFonts w:asciiTheme="minorHAnsi" w:hAnsiTheme="minorHAnsi" w:cstheme="minorHAnsi"/>
          <w:sz w:val="23"/>
          <w:szCs w:val="23"/>
        </w:rPr>
        <w:t xml:space="preserve">. </w:t>
      </w:r>
    </w:p>
    <w:p w:rsidR="00AA2CFD" w:rsidRPr="00AA2CFD" w:rsidRDefault="00AA2CFD" w:rsidP="00AA2CFD">
      <w:pPr>
        <w:pStyle w:val="ListParagraph"/>
        <w:autoSpaceDE w:val="0"/>
        <w:autoSpaceDN w:val="0"/>
        <w:adjustRightInd w:val="0"/>
        <w:spacing w:after="0" w:line="240" w:lineRule="auto"/>
        <w:ind w:left="426" w:firstLine="0"/>
        <w:jc w:val="both"/>
        <w:rPr>
          <w:rFonts w:asciiTheme="minorHAnsi" w:hAnsiTheme="minorHAnsi" w:cstheme="minorHAnsi"/>
          <w:sz w:val="23"/>
          <w:szCs w:val="23"/>
        </w:rPr>
      </w:pPr>
    </w:p>
    <w:p w:rsidR="0036791E" w:rsidRPr="00AA2CFD" w:rsidRDefault="003545CC" w:rsidP="00794F9C">
      <w:pPr>
        <w:pStyle w:val="ListParagraph"/>
        <w:numPr>
          <w:ilvl w:val="0"/>
          <w:numId w:val="10"/>
        </w:numPr>
        <w:autoSpaceDE w:val="0"/>
        <w:autoSpaceDN w:val="0"/>
        <w:adjustRightInd w:val="0"/>
        <w:spacing w:after="0" w:line="240" w:lineRule="auto"/>
        <w:ind w:left="426"/>
        <w:jc w:val="both"/>
        <w:rPr>
          <w:rFonts w:asciiTheme="minorHAnsi" w:hAnsiTheme="minorHAnsi" w:cstheme="minorHAnsi"/>
          <w:sz w:val="23"/>
          <w:szCs w:val="23"/>
        </w:rPr>
      </w:pPr>
      <w:r>
        <w:rPr>
          <w:rFonts w:asciiTheme="minorHAnsi" w:hAnsiTheme="minorHAnsi" w:cstheme="minorHAnsi"/>
          <w:sz w:val="23"/>
          <w:szCs w:val="23"/>
        </w:rPr>
        <w:t>En termes de qualité d’eau, l</w:t>
      </w:r>
      <w:r w:rsidR="0036791E" w:rsidRPr="00AA2CFD">
        <w:rPr>
          <w:rFonts w:asciiTheme="minorHAnsi" w:hAnsiTheme="minorHAnsi" w:cstheme="minorHAnsi"/>
          <w:sz w:val="23"/>
          <w:szCs w:val="23"/>
        </w:rPr>
        <w:t>es directive</w:t>
      </w:r>
      <w:r w:rsidR="00AA2CFD">
        <w:rPr>
          <w:rFonts w:asciiTheme="minorHAnsi" w:hAnsiTheme="minorHAnsi" w:cstheme="minorHAnsi"/>
          <w:sz w:val="23"/>
          <w:szCs w:val="23"/>
        </w:rPr>
        <w:t>s de l’</w:t>
      </w:r>
      <w:r w:rsidR="00AA2CFD" w:rsidRPr="00AA2CFD">
        <w:rPr>
          <w:rFonts w:asciiTheme="minorHAnsi" w:hAnsiTheme="minorHAnsi" w:cstheme="minorHAnsi"/>
          <w:sz w:val="23"/>
          <w:szCs w:val="23"/>
        </w:rPr>
        <w:t xml:space="preserve">OMS et autres guides techniques </w:t>
      </w:r>
      <w:r w:rsidR="00AA2CFD">
        <w:rPr>
          <w:rFonts w:asciiTheme="minorHAnsi" w:hAnsiTheme="minorHAnsi" w:cstheme="minorHAnsi"/>
          <w:sz w:val="23"/>
          <w:szCs w:val="23"/>
        </w:rPr>
        <w:t xml:space="preserve">produits et/ou validés par le cluster </w:t>
      </w:r>
      <w:r w:rsidR="00AA2CFD" w:rsidRPr="00AA2CFD">
        <w:rPr>
          <w:rFonts w:asciiTheme="minorHAnsi" w:hAnsiTheme="minorHAnsi" w:cstheme="minorHAnsi"/>
          <w:sz w:val="23"/>
          <w:szCs w:val="23"/>
        </w:rPr>
        <w:t>WASH</w:t>
      </w:r>
      <w:r>
        <w:rPr>
          <w:rFonts w:asciiTheme="minorHAnsi" w:hAnsiTheme="minorHAnsi" w:cstheme="minorHAnsi"/>
          <w:sz w:val="23"/>
          <w:szCs w:val="23"/>
        </w:rPr>
        <w:t xml:space="preserve"> seront suivies</w:t>
      </w:r>
      <w:r w:rsidR="0036791E" w:rsidRPr="00AA2CFD">
        <w:rPr>
          <w:rFonts w:asciiTheme="minorHAnsi" w:hAnsiTheme="minorHAnsi" w:cstheme="minorHAnsi"/>
          <w:sz w:val="23"/>
          <w:szCs w:val="23"/>
        </w:rPr>
        <w:t xml:space="preserve">. </w:t>
      </w:r>
    </w:p>
    <w:p w:rsidR="00F60F25" w:rsidRPr="00AA2CFD" w:rsidRDefault="00F60F25" w:rsidP="00F60F25">
      <w:pPr>
        <w:rPr>
          <w:u w:val="single"/>
        </w:rPr>
      </w:pPr>
      <w:r w:rsidRPr="00AA2CFD">
        <w:rPr>
          <w:u w:val="single"/>
        </w:rPr>
        <w:t>Planification incluant la gestion de risques de désastres et de relèvement immédiat</w:t>
      </w:r>
    </w:p>
    <w:p w:rsidR="00AA2CFD" w:rsidRDefault="00AA2CFD" w:rsidP="00794F9C">
      <w:pPr>
        <w:pStyle w:val="ListParagraph"/>
        <w:numPr>
          <w:ilvl w:val="0"/>
          <w:numId w:val="10"/>
        </w:numPr>
        <w:autoSpaceDE w:val="0"/>
        <w:autoSpaceDN w:val="0"/>
        <w:adjustRightInd w:val="0"/>
        <w:spacing w:after="0" w:line="240" w:lineRule="auto"/>
        <w:ind w:left="426"/>
        <w:jc w:val="both"/>
        <w:rPr>
          <w:rFonts w:asciiTheme="minorHAnsi" w:hAnsiTheme="minorHAnsi" w:cstheme="minorHAnsi"/>
          <w:sz w:val="23"/>
          <w:szCs w:val="23"/>
        </w:rPr>
      </w:pPr>
      <w:r w:rsidRPr="00AA2CFD">
        <w:rPr>
          <w:rFonts w:asciiTheme="minorHAnsi" w:hAnsiTheme="minorHAnsi" w:cstheme="minorHAnsi"/>
          <w:sz w:val="23"/>
          <w:szCs w:val="23"/>
        </w:rPr>
        <w:t xml:space="preserve">Le travail de préparation aux urgences, avec l’élaboration de plans de contingence, permettra à la communauté humanitaire d’être réactive et d’améliorer l’efficacité de la réponse aux urgences complexes. </w:t>
      </w:r>
    </w:p>
    <w:p w:rsidR="009C3672" w:rsidRPr="00AA2CFD" w:rsidRDefault="009C3672" w:rsidP="009C3672">
      <w:pPr>
        <w:pStyle w:val="ListParagraph"/>
        <w:autoSpaceDE w:val="0"/>
        <w:autoSpaceDN w:val="0"/>
        <w:adjustRightInd w:val="0"/>
        <w:spacing w:after="0" w:line="240" w:lineRule="auto"/>
        <w:ind w:left="426" w:firstLine="0"/>
        <w:jc w:val="both"/>
        <w:rPr>
          <w:rFonts w:asciiTheme="minorHAnsi" w:hAnsiTheme="minorHAnsi" w:cstheme="minorHAnsi"/>
          <w:sz w:val="23"/>
          <w:szCs w:val="23"/>
        </w:rPr>
      </w:pPr>
    </w:p>
    <w:p w:rsidR="009C3672" w:rsidRDefault="009C3672" w:rsidP="00794F9C">
      <w:pPr>
        <w:pStyle w:val="ListParagraph"/>
        <w:numPr>
          <w:ilvl w:val="0"/>
          <w:numId w:val="10"/>
        </w:numPr>
        <w:autoSpaceDE w:val="0"/>
        <w:autoSpaceDN w:val="0"/>
        <w:adjustRightInd w:val="0"/>
        <w:spacing w:after="0" w:line="240" w:lineRule="auto"/>
        <w:ind w:left="426"/>
        <w:jc w:val="both"/>
        <w:rPr>
          <w:rFonts w:asciiTheme="minorHAnsi" w:hAnsiTheme="minorHAnsi" w:cstheme="minorHAnsi"/>
          <w:sz w:val="23"/>
          <w:szCs w:val="23"/>
        </w:rPr>
      </w:pPr>
      <w:r>
        <w:rPr>
          <w:rFonts w:asciiTheme="minorHAnsi" w:hAnsiTheme="minorHAnsi" w:cstheme="minorHAnsi"/>
          <w:sz w:val="23"/>
          <w:szCs w:val="23"/>
        </w:rPr>
        <w:t xml:space="preserve">Le cluster WASH veillera à ce que les partenaires </w:t>
      </w:r>
      <w:r w:rsidR="00EF6C34">
        <w:rPr>
          <w:rFonts w:asciiTheme="minorHAnsi" w:hAnsiTheme="minorHAnsi" w:cstheme="minorHAnsi"/>
          <w:sz w:val="23"/>
          <w:szCs w:val="23"/>
        </w:rPr>
        <w:t>travaillent à chercher constamment</w:t>
      </w:r>
      <w:r>
        <w:rPr>
          <w:rFonts w:asciiTheme="minorHAnsi" w:hAnsiTheme="minorHAnsi" w:cstheme="minorHAnsi"/>
          <w:sz w:val="23"/>
          <w:szCs w:val="23"/>
        </w:rPr>
        <w:t xml:space="preserve"> à la durabilité de leur intervention</w:t>
      </w:r>
      <w:r w:rsidR="00EF6C34">
        <w:rPr>
          <w:rFonts w:asciiTheme="minorHAnsi" w:hAnsiTheme="minorHAnsi" w:cstheme="minorHAnsi"/>
          <w:sz w:val="23"/>
          <w:szCs w:val="23"/>
        </w:rPr>
        <w:t xml:space="preserve"> (dans la mesure du possible)</w:t>
      </w:r>
      <w:r>
        <w:rPr>
          <w:rFonts w:asciiTheme="minorHAnsi" w:hAnsiTheme="minorHAnsi" w:cstheme="minorHAnsi"/>
          <w:sz w:val="23"/>
          <w:szCs w:val="23"/>
        </w:rPr>
        <w:t xml:space="preserve">, </w:t>
      </w:r>
      <w:r w:rsidR="00EF6C34">
        <w:rPr>
          <w:rFonts w:asciiTheme="minorHAnsi" w:hAnsiTheme="minorHAnsi" w:cstheme="minorHAnsi"/>
          <w:sz w:val="23"/>
          <w:szCs w:val="23"/>
        </w:rPr>
        <w:t>à améliorer l</w:t>
      </w:r>
      <w:r w:rsidR="003545CC">
        <w:rPr>
          <w:rFonts w:asciiTheme="minorHAnsi" w:hAnsiTheme="minorHAnsi" w:cstheme="minorHAnsi"/>
          <w:sz w:val="23"/>
          <w:szCs w:val="23"/>
        </w:rPr>
        <w:t>es capacités de</w:t>
      </w:r>
      <w:r w:rsidR="00EF6C34">
        <w:rPr>
          <w:rFonts w:asciiTheme="minorHAnsi" w:hAnsiTheme="minorHAnsi" w:cstheme="minorHAnsi"/>
          <w:sz w:val="23"/>
          <w:szCs w:val="23"/>
        </w:rPr>
        <w:t xml:space="preserve"> résilience des communautés et à développer des stratégies de sortie de leur intervention. </w:t>
      </w:r>
      <w:r>
        <w:rPr>
          <w:rFonts w:asciiTheme="minorHAnsi" w:hAnsiTheme="minorHAnsi" w:cstheme="minorHAnsi"/>
          <w:sz w:val="23"/>
          <w:szCs w:val="23"/>
        </w:rPr>
        <w:t xml:space="preserve"> </w:t>
      </w:r>
    </w:p>
    <w:p w:rsidR="00F60F25" w:rsidRPr="00EF6C34" w:rsidRDefault="00AA2CFD" w:rsidP="00F60F25">
      <w:pPr>
        <w:rPr>
          <w:u w:val="single"/>
        </w:rPr>
      </w:pPr>
      <w:r w:rsidRPr="00EF6C34">
        <w:rPr>
          <w:u w:val="single"/>
        </w:rPr>
        <w:t>P</w:t>
      </w:r>
      <w:r w:rsidR="00F60F25" w:rsidRPr="00EF6C34">
        <w:rPr>
          <w:u w:val="single"/>
        </w:rPr>
        <w:t xml:space="preserve">articipation communautaire et </w:t>
      </w:r>
      <w:r w:rsidR="0036791E" w:rsidRPr="00EF6C34">
        <w:rPr>
          <w:u w:val="single"/>
        </w:rPr>
        <w:t>équité</w:t>
      </w:r>
      <w:r w:rsidR="00F60F25" w:rsidRPr="00EF6C34">
        <w:rPr>
          <w:u w:val="single"/>
        </w:rPr>
        <w:t xml:space="preserve"> </w:t>
      </w:r>
    </w:p>
    <w:p w:rsidR="0036791E" w:rsidRPr="00EF6C34" w:rsidRDefault="0036791E" w:rsidP="00794F9C">
      <w:pPr>
        <w:pStyle w:val="ListParagraph"/>
        <w:numPr>
          <w:ilvl w:val="0"/>
          <w:numId w:val="10"/>
        </w:numPr>
        <w:autoSpaceDE w:val="0"/>
        <w:autoSpaceDN w:val="0"/>
        <w:adjustRightInd w:val="0"/>
        <w:spacing w:after="0" w:line="240" w:lineRule="auto"/>
        <w:ind w:left="426"/>
        <w:jc w:val="both"/>
        <w:rPr>
          <w:rFonts w:asciiTheme="minorHAnsi" w:hAnsiTheme="minorHAnsi" w:cstheme="minorHAnsi"/>
          <w:sz w:val="23"/>
          <w:szCs w:val="23"/>
        </w:rPr>
      </w:pPr>
      <w:r w:rsidRPr="00EF6C34">
        <w:rPr>
          <w:rFonts w:asciiTheme="minorHAnsi" w:hAnsiTheme="minorHAnsi" w:cstheme="minorHAnsi"/>
          <w:sz w:val="23"/>
          <w:szCs w:val="23"/>
        </w:rPr>
        <w:t xml:space="preserve">Inclure la bonne gouvernance, les droits humains, l'égalité des genres, l’âge, </w:t>
      </w:r>
      <w:r w:rsidR="00EF6C34">
        <w:rPr>
          <w:rFonts w:asciiTheme="minorHAnsi" w:hAnsiTheme="minorHAnsi" w:cstheme="minorHAnsi"/>
          <w:sz w:val="23"/>
          <w:szCs w:val="23"/>
        </w:rPr>
        <w:t xml:space="preserve">le handicap </w:t>
      </w:r>
      <w:r w:rsidRPr="00EF6C34">
        <w:rPr>
          <w:rFonts w:asciiTheme="minorHAnsi" w:hAnsiTheme="minorHAnsi" w:cstheme="minorHAnsi"/>
          <w:sz w:val="23"/>
          <w:szCs w:val="23"/>
        </w:rPr>
        <w:t xml:space="preserve">et environnementaux dans la planification du programme. </w:t>
      </w:r>
    </w:p>
    <w:p w:rsidR="00EF6C34" w:rsidRDefault="00EF6C34" w:rsidP="00EF6C34">
      <w:pPr>
        <w:pStyle w:val="ListParagraph"/>
        <w:autoSpaceDE w:val="0"/>
        <w:autoSpaceDN w:val="0"/>
        <w:adjustRightInd w:val="0"/>
        <w:spacing w:after="0" w:line="240" w:lineRule="auto"/>
        <w:ind w:left="426" w:firstLine="0"/>
        <w:jc w:val="both"/>
        <w:rPr>
          <w:rFonts w:asciiTheme="minorHAnsi" w:hAnsiTheme="minorHAnsi" w:cstheme="minorHAnsi"/>
          <w:sz w:val="23"/>
          <w:szCs w:val="23"/>
        </w:rPr>
      </w:pPr>
    </w:p>
    <w:p w:rsidR="0036791E" w:rsidRPr="00EF6C34" w:rsidRDefault="0036791E" w:rsidP="00794F9C">
      <w:pPr>
        <w:pStyle w:val="ListParagraph"/>
        <w:numPr>
          <w:ilvl w:val="0"/>
          <w:numId w:val="10"/>
        </w:numPr>
        <w:autoSpaceDE w:val="0"/>
        <w:autoSpaceDN w:val="0"/>
        <w:adjustRightInd w:val="0"/>
        <w:spacing w:after="0" w:line="240" w:lineRule="auto"/>
        <w:ind w:left="426"/>
        <w:jc w:val="both"/>
        <w:rPr>
          <w:rFonts w:asciiTheme="minorHAnsi" w:hAnsiTheme="minorHAnsi" w:cstheme="minorHAnsi"/>
          <w:sz w:val="23"/>
          <w:szCs w:val="23"/>
        </w:rPr>
      </w:pPr>
      <w:r w:rsidRPr="00EF6C34">
        <w:rPr>
          <w:rFonts w:asciiTheme="minorHAnsi" w:hAnsiTheme="minorHAnsi" w:cstheme="minorHAnsi"/>
          <w:sz w:val="23"/>
          <w:szCs w:val="23"/>
        </w:rPr>
        <w:t xml:space="preserve">Inclure les bénéficiaires dans l’évaluation et la priorisation de leurs propres besoins, ainsi que dans la conception du programme. </w:t>
      </w:r>
    </w:p>
    <w:p w:rsidR="00EF6C34" w:rsidRDefault="00EF6C34" w:rsidP="00EF6C34">
      <w:pPr>
        <w:pStyle w:val="ListParagraph"/>
        <w:autoSpaceDE w:val="0"/>
        <w:autoSpaceDN w:val="0"/>
        <w:adjustRightInd w:val="0"/>
        <w:spacing w:after="0" w:line="240" w:lineRule="auto"/>
        <w:ind w:left="426" w:firstLine="0"/>
        <w:jc w:val="both"/>
        <w:rPr>
          <w:rFonts w:asciiTheme="minorHAnsi" w:hAnsiTheme="minorHAnsi" w:cstheme="minorHAnsi"/>
          <w:sz w:val="23"/>
          <w:szCs w:val="23"/>
        </w:rPr>
      </w:pPr>
    </w:p>
    <w:p w:rsidR="0036791E" w:rsidRPr="00EF6C34" w:rsidRDefault="0036791E" w:rsidP="00794F9C">
      <w:pPr>
        <w:pStyle w:val="ListParagraph"/>
        <w:numPr>
          <w:ilvl w:val="0"/>
          <w:numId w:val="10"/>
        </w:numPr>
        <w:autoSpaceDE w:val="0"/>
        <w:autoSpaceDN w:val="0"/>
        <w:adjustRightInd w:val="0"/>
        <w:spacing w:after="0" w:line="240" w:lineRule="auto"/>
        <w:ind w:left="426"/>
        <w:jc w:val="both"/>
        <w:rPr>
          <w:rFonts w:asciiTheme="minorHAnsi" w:hAnsiTheme="minorHAnsi" w:cstheme="minorHAnsi"/>
          <w:sz w:val="23"/>
          <w:szCs w:val="23"/>
        </w:rPr>
      </w:pPr>
      <w:r w:rsidRPr="00EF6C34">
        <w:rPr>
          <w:rFonts w:asciiTheme="minorHAnsi" w:hAnsiTheme="minorHAnsi" w:cstheme="minorHAnsi"/>
          <w:sz w:val="23"/>
          <w:szCs w:val="23"/>
        </w:rPr>
        <w:t xml:space="preserve">Établir une procédure pour recueillir les plaintes qui correspond aux préoccupations des parties concernées, particulièrement les bénéficiaires et les familles d'accueil. </w:t>
      </w:r>
    </w:p>
    <w:p w:rsidR="00EF6C34" w:rsidRDefault="00EF6C34" w:rsidP="00EF6C34">
      <w:pPr>
        <w:pStyle w:val="ListParagraph"/>
        <w:autoSpaceDE w:val="0"/>
        <w:autoSpaceDN w:val="0"/>
        <w:adjustRightInd w:val="0"/>
        <w:spacing w:after="0" w:line="240" w:lineRule="auto"/>
        <w:ind w:left="426" w:firstLine="0"/>
        <w:jc w:val="both"/>
        <w:rPr>
          <w:rFonts w:asciiTheme="minorHAnsi" w:hAnsiTheme="minorHAnsi" w:cstheme="minorHAnsi"/>
          <w:sz w:val="23"/>
          <w:szCs w:val="23"/>
        </w:rPr>
      </w:pPr>
    </w:p>
    <w:p w:rsidR="0036791E" w:rsidRPr="00EF6C34" w:rsidRDefault="0036791E" w:rsidP="00794F9C">
      <w:pPr>
        <w:pStyle w:val="ListParagraph"/>
        <w:numPr>
          <w:ilvl w:val="0"/>
          <w:numId w:val="10"/>
        </w:numPr>
        <w:autoSpaceDE w:val="0"/>
        <w:autoSpaceDN w:val="0"/>
        <w:adjustRightInd w:val="0"/>
        <w:spacing w:after="0" w:line="240" w:lineRule="auto"/>
        <w:ind w:left="426"/>
        <w:jc w:val="both"/>
        <w:rPr>
          <w:rFonts w:asciiTheme="minorHAnsi" w:hAnsiTheme="minorHAnsi" w:cstheme="minorHAnsi"/>
          <w:sz w:val="23"/>
          <w:szCs w:val="23"/>
        </w:rPr>
      </w:pPr>
      <w:r w:rsidRPr="00EF6C34">
        <w:rPr>
          <w:rFonts w:asciiTheme="minorHAnsi" w:hAnsiTheme="minorHAnsi" w:cstheme="minorHAnsi"/>
          <w:sz w:val="23"/>
          <w:szCs w:val="23"/>
        </w:rPr>
        <w:t xml:space="preserve">Fournir, dans leur propre langue, à tous les bénéficiaires, des informations sur les activités du programme qui les touchent. </w:t>
      </w:r>
    </w:p>
    <w:p w:rsidR="00327659" w:rsidRDefault="00327659" w:rsidP="00327659">
      <w:pPr>
        <w:pStyle w:val="ListParagraph"/>
        <w:autoSpaceDE w:val="0"/>
        <w:autoSpaceDN w:val="0"/>
        <w:adjustRightInd w:val="0"/>
        <w:spacing w:after="0" w:line="240" w:lineRule="auto"/>
        <w:ind w:left="426" w:firstLine="0"/>
        <w:jc w:val="both"/>
        <w:rPr>
          <w:rFonts w:asciiTheme="minorHAnsi" w:hAnsiTheme="minorHAnsi" w:cstheme="minorHAnsi"/>
          <w:sz w:val="23"/>
          <w:szCs w:val="23"/>
        </w:rPr>
      </w:pPr>
    </w:p>
    <w:p w:rsidR="0036791E" w:rsidRPr="00327659" w:rsidRDefault="0036791E" w:rsidP="00794F9C">
      <w:pPr>
        <w:pStyle w:val="ListParagraph"/>
        <w:numPr>
          <w:ilvl w:val="0"/>
          <w:numId w:val="10"/>
        </w:numPr>
        <w:autoSpaceDE w:val="0"/>
        <w:autoSpaceDN w:val="0"/>
        <w:adjustRightInd w:val="0"/>
        <w:spacing w:after="0" w:line="240" w:lineRule="auto"/>
        <w:ind w:left="426"/>
        <w:jc w:val="both"/>
        <w:rPr>
          <w:rFonts w:asciiTheme="minorHAnsi" w:hAnsiTheme="minorHAnsi" w:cstheme="minorHAnsi"/>
          <w:sz w:val="23"/>
          <w:szCs w:val="23"/>
        </w:rPr>
      </w:pPr>
      <w:r w:rsidRPr="00327659">
        <w:rPr>
          <w:rFonts w:asciiTheme="minorHAnsi" w:hAnsiTheme="minorHAnsi" w:cstheme="minorHAnsi"/>
          <w:sz w:val="23"/>
          <w:szCs w:val="23"/>
        </w:rPr>
        <w:t xml:space="preserve">Consulter activement les femmes, les enfants et les groupes ayant des besoins particuliers (incluant les personnes vivant avec le VIH) lors de la planification et le suivi des interventions ainsi que lors de la mise en </w:t>
      </w:r>
      <w:r w:rsidR="00327659">
        <w:rPr>
          <w:rFonts w:asciiTheme="minorHAnsi" w:hAnsiTheme="minorHAnsi" w:cstheme="minorHAnsi"/>
          <w:sz w:val="23"/>
          <w:szCs w:val="23"/>
        </w:rPr>
        <w:t xml:space="preserve">œuvre </w:t>
      </w:r>
      <w:r w:rsidRPr="00327659">
        <w:rPr>
          <w:rFonts w:asciiTheme="minorHAnsi" w:hAnsiTheme="minorHAnsi" w:cstheme="minorHAnsi"/>
          <w:sz w:val="23"/>
          <w:szCs w:val="23"/>
        </w:rPr>
        <w:t>de la conception des latrines, de la position assise, la sécurité nocturne, de la dignité et de l’équité</w:t>
      </w:r>
      <w:r w:rsidR="00327659">
        <w:rPr>
          <w:rFonts w:asciiTheme="minorHAnsi" w:hAnsiTheme="minorHAnsi" w:cstheme="minorHAnsi"/>
          <w:sz w:val="23"/>
          <w:szCs w:val="23"/>
        </w:rPr>
        <w:t xml:space="preserve"> dans la distribution de l’eau.</w:t>
      </w:r>
    </w:p>
    <w:p w:rsidR="00F60F25" w:rsidRPr="00327659" w:rsidRDefault="00F60F25" w:rsidP="00327659">
      <w:pPr>
        <w:pStyle w:val="ListParagraph"/>
        <w:autoSpaceDE w:val="0"/>
        <w:autoSpaceDN w:val="0"/>
        <w:adjustRightInd w:val="0"/>
        <w:spacing w:after="0" w:line="240" w:lineRule="auto"/>
        <w:ind w:left="426" w:firstLine="0"/>
        <w:jc w:val="both"/>
        <w:rPr>
          <w:rFonts w:asciiTheme="minorHAnsi" w:hAnsiTheme="minorHAnsi" w:cstheme="minorHAnsi"/>
          <w:sz w:val="23"/>
          <w:szCs w:val="23"/>
        </w:rPr>
      </w:pPr>
    </w:p>
    <w:p w:rsidR="00F60F25" w:rsidRPr="00327659" w:rsidRDefault="00F60F25" w:rsidP="00F60F25">
      <w:pPr>
        <w:rPr>
          <w:u w:val="single"/>
        </w:rPr>
      </w:pPr>
      <w:r w:rsidRPr="00327659">
        <w:rPr>
          <w:u w:val="single"/>
        </w:rPr>
        <w:t>Coordination et renforcement de capacités</w:t>
      </w:r>
    </w:p>
    <w:p w:rsidR="0036791E" w:rsidRDefault="0036791E" w:rsidP="00794F9C">
      <w:pPr>
        <w:pStyle w:val="ListParagraph"/>
        <w:numPr>
          <w:ilvl w:val="0"/>
          <w:numId w:val="10"/>
        </w:numPr>
        <w:autoSpaceDE w:val="0"/>
        <w:autoSpaceDN w:val="0"/>
        <w:adjustRightInd w:val="0"/>
        <w:spacing w:after="0" w:line="240" w:lineRule="auto"/>
        <w:ind w:left="426"/>
        <w:jc w:val="both"/>
        <w:rPr>
          <w:rFonts w:asciiTheme="minorHAnsi" w:hAnsiTheme="minorHAnsi" w:cstheme="minorHAnsi"/>
          <w:sz w:val="23"/>
          <w:szCs w:val="23"/>
        </w:rPr>
      </w:pPr>
      <w:r w:rsidRPr="00327659">
        <w:rPr>
          <w:rFonts w:asciiTheme="minorHAnsi" w:hAnsiTheme="minorHAnsi" w:cstheme="minorHAnsi"/>
          <w:sz w:val="23"/>
          <w:szCs w:val="23"/>
        </w:rPr>
        <w:t xml:space="preserve">Les organisations, récemment arrivées, souhaitant </w:t>
      </w:r>
      <w:r w:rsidR="00327659">
        <w:rPr>
          <w:rFonts w:asciiTheme="minorHAnsi" w:hAnsiTheme="minorHAnsi" w:cstheme="minorHAnsi"/>
          <w:sz w:val="23"/>
          <w:szCs w:val="23"/>
        </w:rPr>
        <w:t xml:space="preserve">développer un </w:t>
      </w:r>
      <w:r w:rsidRPr="00327659">
        <w:rPr>
          <w:rFonts w:asciiTheme="minorHAnsi" w:hAnsiTheme="minorHAnsi" w:cstheme="minorHAnsi"/>
          <w:sz w:val="23"/>
          <w:szCs w:val="23"/>
        </w:rPr>
        <w:t xml:space="preserve">programme WASH, dans les communautés sur lesquelles </w:t>
      </w:r>
      <w:r w:rsidR="00327659">
        <w:rPr>
          <w:rFonts w:asciiTheme="minorHAnsi" w:hAnsiTheme="minorHAnsi" w:cstheme="minorHAnsi"/>
          <w:sz w:val="23"/>
          <w:szCs w:val="23"/>
        </w:rPr>
        <w:t>d’</w:t>
      </w:r>
      <w:r w:rsidR="00AD474F">
        <w:rPr>
          <w:rFonts w:asciiTheme="minorHAnsi" w:hAnsiTheme="minorHAnsi" w:cstheme="minorHAnsi"/>
          <w:sz w:val="23"/>
          <w:szCs w:val="23"/>
        </w:rPr>
        <w:t xml:space="preserve">autres </w:t>
      </w:r>
      <w:r w:rsidRPr="00327659">
        <w:rPr>
          <w:rFonts w:asciiTheme="minorHAnsi" w:hAnsiTheme="minorHAnsi" w:cstheme="minorHAnsi"/>
          <w:sz w:val="23"/>
          <w:szCs w:val="23"/>
        </w:rPr>
        <w:t xml:space="preserve">ONG </w:t>
      </w:r>
      <w:r w:rsidR="00327659">
        <w:rPr>
          <w:rFonts w:asciiTheme="minorHAnsi" w:hAnsiTheme="minorHAnsi" w:cstheme="minorHAnsi"/>
          <w:sz w:val="23"/>
          <w:szCs w:val="23"/>
        </w:rPr>
        <w:t>interviennent, devront</w:t>
      </w:r>
      <w:r w:rsidRPr="00327659">
        <w:rPr>
          <w:rFonts w:asciiTheme="minorHAnsi" w:hAnsiTheme="minorHAnsi" w:cstheme="minorHAnsi"/>
          <w:sz w:val="23"/>
          <w:szCs w:val="23"/>
        </w:rPr>
        <w:t xml:space="preserve"> avoir l’accord de ce</w:t>
      </w:r>
      <w:r w:rsidR="00AD474F">
        <w:rPr>
          <w:rFonts w:asciiTheme="minorHAnsi" w:hAnsiTheme="minorHAnsi" w:cstheme="minorHAnsi"/>
          <w:sz w:val="23"/>
          <w:szCs w:val="23"/>
        </w:rPr>
        <w:t>s</w:t>
      </w:r>
      <w:r w:rsidRPr="00327659">
        <w:rPr>
          <w:rFonts w:asciiTheme="minorHAnsi" w:hAnsiTheme="minorHAnsi" w:cstheme="minorHAnsi"/>
          <w:sz w:val="23"/>
          <w:szCs w:val="23"/>
        </w:rPr>
        <w:t xml:space="preserve"> dernière</w:t>
      </w:r>
      <w:r w:rsidR="00AD474F">
        <w:rPr>
          <w:rFonts w:asciiTheme="minorHAnsi" w:hAnsiTheme="minorHAnsi" w:cstheme="minorHAnsi"/>
          <w:sz w:val="23"/>
          <w:szCs w:val="23"/>
        </w:rPr>
        <w:t>s</w:t>
      </w:r>
      <w:r w:rsidRPr="00327659">
        <w:rPr>
          <w:rFonts w:asciiTheme="minorHAnsi" w:hAnsiTheme="minorHAnsi" w:cstheme="minorHAnsi"/>
          <w:sz w:val="23"/>
          <w:szCs w:val="23"/>
        </w:rPr>
        <w:t xml:space="preserve"> avant de commencer ses activités. Le Coordinateur du Cluster arbitrera tout conflit. </w:t>
      </w:r>
    </w:p>
    <w:p w:rsidR="00327659" w:rsidRPr="00327659" w:rsidRDefault="00327659" w:rsidP="00327659">
      <w:pPr>
        <w:pStyle w:val="ListParagraph"/>
        <w:autoSpaceDE w:val="0"/>
        <w:autoSpaceDN w:val="0"/>
        <w:adjustRightInd w:val="0"/>
        <w:spacing w:after="0" w:line="240" w:lineRule="auto"/>
        <w:ind w:left="426" w:firstLine="0"/>
        <w:jc w:val="both"/>
        <w:rPr>
          <w:rFonts w:asciiTheme="minorHAnsi" w:hAnsiTheme="minorHAnsi" w:cstheme="minorHAnsi"/>
          <w:sz w:val="23"/>
          <w:szCs w:val="23"/>
        </w:rPr>
      </w:pPr>
    </w:p>
    <w:p w:rsidR="0036791E" w:rsidRDefault="00327659" w:rsidP="00794F9C">
      <w:pPr>
        <w:pStyle w:val="ListParagraph"/>
        <w:numPr>
          <w:ilvl w:val="0"/>
          <w:numId w:val="10"/>
        </w:numPr>
        <w:autoSpaceDE w:val="0"/>
        <w:autoSpaceDN w:val="0"/>
        <w:adjustRightInd w:val="0"/>
        <w:spacing w:after="0" w:line="240" w:lineRule="auto"/>
        <w:ind w:left="426"/>
        <w:jc w:val="both"/>
        <w:rPr>
          <w:rFonts w:asciiTheme="minorHAnsi" w:hAnsiTheme="minorHAnsi" w:cstheme="minorHAnsi"/>
          <w:sz w:val="23"/>
          <w:szCs w:val="23"/>
        </w:rPr>
      </w:pPr>
      <w:r w:rsidRPr="00327659">
        <w:rPr>
          <w:rFonts w:asciiTheme="minorHAnsi" w:hAnsiTheme="minorHAnsi" w:cstheme="minorHAnsi"/>
          <w:sz w:val="23"/>
          <w:szCs w:val="23"/>
        </w:rPr>
        <w:lastRenderedPageBreak/>
        <w:t xml:space="preserve">Les </w:t>
      </w:r>
      <w:proofErr w:type="spellStart"/>
      <w:r w:rsidRPr="00327659">
        <w:rPr>
          <w:rFonts w:asciiTheme="minorHAnsi" w:hAnsiTheme="minorHAnsi" w:cstheme="minorHAnsi"/>
          <w:sz w:val="23"/>
          <w:szCs w:val="23"/>
        </w:rPr>
        <w:t>ONGs</w:t>
      </w:r>
      <w:proofErr w:type="spellEnd"/>
      <w:r w:rsidRPr="00327659">
        <w:rPr>
          <w:rFonts w:asciiTheme="minorHAnsi" w:hAnsiTheme="minorHAnsi" w:cstheme="minorHAnsi"/>
          <w:sz w:val="23"/>
          <w:szCs w:val="23"/>
        </w:rPr>
        <w:t xml:space="preserve"> internationales travailleront en partenariat avec les </w:t>
      </w:r>
      <w:proofErr w:type="spellStart"/>
      <w:r w:rsidRPr="00327659">
        <w:rPr>
          <w:rFonts w:asciiTheme="minorHAnsi" w:hAnsiTheme="minorHAnsi" w:cstheme="minorHAnsi"/>
          <w:sz w:val="23"/>
          <w:szCs w:val="23"/>
        </w:rPr>
        <w:t>ONGs</w:t>
      </w:r>
      <w:proofErr w:type="spellEnd"/>
      <w:r w:rsidRPr="00327659">
        <w:rPr>
          <w:rFonts w:asciiTheme="minorHAnsi" w:hAnsiTheme="minorHAnsi" w:cstheme="minorHAnsi"/>
          <w:sz w:val="23"/>
          <w:szCs w:val="23"/>
        </w:rPr>
        <w:t>/acteurs locaux, notamment pour assurer la continuité, dans la mesure du poss</w:t>
      </w:r>
      <w:r w:rsidR="00AD474F">
        <w:rPr>
          <w:rFonts w:asciiTheme="minorHAnsi" w:hAnsiTheme="minorHAnsi" w:cstheme="minorHAnsi"/>
          <w:sz w:val="23"/>
          <w:szCs w:val="23"/>
        </w:rPr>
        <w:t>ible, des programmes</w:t>
      </w:r>
      <w:r w:rsidRPr="00327659">
        <w:rPr>
          <w:rFonts w:asciiTheme="minorHAnsi" w:hAnsiTheme="minorHAnsi" w:cstheme="minorHAnsi"/>
          <w:sz w:val="23"/>
          <w:szCs w:val="23"/>
        </w:rPr>
        <w:t>.</w:t>
      </w:r>
      <w:r w:rsidR="0036791E" w:rsidRPr="00327659">
        <w:rPr>
          <w:rFonts w:asciiTheme="minorHAnsi" w:hAnsiTheme="minorHAnsi" w:cstheme="minorHAnsi"/>
          <w:sz w:val="23"/>
          <w:szCs w:val="23"/>
        </w:rPr>
        <w:t xml:space="preserve"> </w:t>
      </w:r>
    </w:p>
    <w:p w:rsidR="00327659" w:rsidRPr="00327659" w:rsidRDefault="00327659" w:rsidP="00327659">
      <w:pPr>
        <w:pStyle w:val="ListParagraph"/>
        <w:rPr>
          <w:rFonts w:asciiTheme="minorHAnsi" w:hAnsiTheme="minorHAnsi" w:cstheme="minorHAnsi"/>
          <w:sz w:val="23"/>
          <w:szCs w:val="23"/>
        </w:rPr>
      </w:pPr>
    </w:p>
    <w:p w:rsidR="009969BF" w:rsidRPr="00327659" w:rsidRDefault="009969BF" w:rsidP="00794F9C">
      <w:pPr>
        <w:pStyle w:val="ListParagraph"/>
        <w:numPr>
          <w:ilvl w:val="0"/>
          <w:numId w:val="10"/>
        </w:numPr>
        <w:autoSpaceDE w:val="0"/>
        <w:autoSpaceDN w:val="0"/>
        <w:adjustRightInd w:val="0"/>
        <w:spacing w:after="0" w:line="240" w:lineRule="auto"/>
        <w:ind w:left="426"/>
        <w:jc w:val="both"/>
        <w:rPr>
          <w:rFonts w:asciiTheme="minorHAnsi" w:hAnsiTheme="minorHAnsi" w:cstheme="minorHAnsi"/>
          <w:sz w:val="23"/>
          <w:szCs w:val="23"/>
        </w:rPr>
      </w:pPr>
      <w:r w:rsidRPr="00327659">
        <w:rPr>
          <w:rFonts w:asciiTheme="minorHAnsi" w:hAnsiTheme="minorHAnsi" w:cstheme="minorHAnsi"/>
          <w:sz w:val="23"/>
          <w:szCs w:val="23"/>
        </w:rPr>
        <w:t>Développer et renforcer un réseau de partenaires ayant accès aux régions du nord et les former aux principes humanitaires</w:t>
      </w:r>
      <w:r w:rsidR="00327659">
        <w:rPr>
          <w:rFonts w:asciiTheme="minorHAnsi" w:hAnsiTheme="minorHAnsi" w:cstheme="minorHAnsi"/>
          <w:sz w:val="23"/>
          <w:szCs w:val="23"/>
        </w:rPr>
        <w:t>, à l’approche « ne pas nuire » et des mesures de prévention clairement identifiées</w:t>
      </w:r>
      <w:r w:rsidRPr="00327659">
        <w:rPr>
          <w:rFonts w:asciiTheme="minorHAnsi" w:hAnsiTheme="minorHAnsi" w:cstheme="minorHAnsi"/>
          <w:sz w:val="23"/>
          <w:szCs w:val="23"/>
        </w:rPr>
        <w:t xml:space="preserve">. </w:t>
      </w:r>
    </w:p>
    <w:p w:rsidR="00327659" w:rsidRDefault="00327659" w:rsidP="00327659">
      <w:pPr>
        <w:pStyle w:val="ListParagraph"/>
        <w:autoSpaceDE w:val="0"/>
        <w:autoSpaceDN w:val="0"/>
        <w:adjustRightInd w:val="0"/>
        <w:spacing w:after="0" w:line="240" w:lineRule="auto"/>
        <w:ind w:left="426" w:firstLine="0"/>
        <w:jc w:val="both"/>
        <w:rPr>
          <w:rFonts w:asciiTheme="minorHAnsi" w:hAnsiTheme="minorHAnsi" w:cstheme="minorHAnsi"/>
          <w:sz w:val="23"/>
          <w:szCs w:val="23"/>
        </w:rPr>
      </w:pPr>
    </w:p>
    <w:p w:rsidR="009969BF" w:rsidRPr="00327659" w:rsidRDefault="009969BF" w:rsidP="00794F9C">
      <w:pPr>
        <w:pStyle w:val="ListParagraph"/>
        <w:numPr>
          <w:ilvl w:val="0"/>
          <w:numId w:val="10"/>
        </w:numPr>
        <w:autoSpaceDE w:val="0"/>
        <w:autoSpaceDN w:val="0"/>
        <w:adjustRightInd w:val="0"/>
        <w:spacing w:after="0" w:line="240" w:lineRule="auto"/>
        <w:ind w:left="426"/>
        <w:jc w:val="both"/>
        <w:rPr>
          <w:rFonts w:asciiTheme="minorHAnsi" w:hAnsiTheme="minorHAnsi" w:cstheme="minorHAnsi"/>
          <w:sz w:val="23"/>
          <w:szCs w:val="23"/>
        </w:rPr>
      </w:pPr>
      <w:r w:rsidRPr="00327659">
        <w:rPr>
          <w:rFonts w:asciiTheme="minorHAnsi" w:hAnsiTheme="minorHAnsi" w:cstheme="minorHAnsi"/>
          <w:sz w:val="23"/>
          <w:szCs w:val="23"/>
        </w:rPr>
        <w:t xml:space="preserve">Les structures étatiques avec leurs départements techniques ainsi que les collectivités locales seront appuyées et impliquées dans la réponse. </w:t>
      </w:r>
    </w:p>
    <w:p w:rsidR="00F60F25" w:rsidRPr="00327659" w:rsidRDefault="00F60F25" w:rsidP="00F60F25">
      <w:pPr>
        <w:rPr>
          <w:u w:val="single"/>
        </w:rPr>
      </w:pPr>
      <w:r w:rsidRPr="00327659">
        <w:rPr>
          <w:u w:val="single"/>
        </w:rPr>
        <w:t>Couverture WASH</w:t>
      </w:r>
    </w:p>
    <w:p w:rsidR="000B146D" w:rsidRPr="00327659" w:rsidRDefault="000B146D" w:rsidP="00794F9C">
      <w:pPr>
        <w:pStyle w:val="ListParagraph"/>
        <w:numPr>
          <w:ilvl w:val="0"/>
          <w:numId w:val="10"/>
        </w:numPr>
        <w:autoSpaceDE w:val="0"/>
        <w:autoSpaceDN w:val="0"/>
        <w:adjustRightInd w:val="0"/>
        <w:spacing w:after="0" w:line="240" w:lineRule="auto"/>
        <w:ind w:left="426"/>
        <w:jc w:val="both"/>
        <w:rPr>
          <w:rFonts w:asciiTheme="minorHAnsi" w:hAnsiTheme="minorHAnsi" w:cstheme="minorHAnsi"/>
          <w:sz w:val="23"/>
          <w:szCs w:val="23"/>
        </w:rPr>
      </w:pPr>
      <w:r w:rsidRPr="00327659">
        <w:rPr>
          <w:rFonts w:asciiTheme="minorHAnsi" w:hAnsiTheme="minorHAnsi" w:cstheme="minorHAnsi"/>
          <w:sz w:val="23"/>
          <w:szCs w:val="23"/>
        </w:rPr>
        <w:t xml:space="preserve">Cibler une assistance sélective aux groupes et individus les plus vulnérables. </w:t>
      </w:r>
    </w:p>
    <w:p w:rsidR="00832D4C" w:rsidRDefault="00832D4C" w:rsidP="00832D4C">
      <w:pPr>
        <w:pStyle w:val="ListParagraph"/>
        <w:autoSpaceDE w:val="0"/>
        <w:autoSpaceDN w:val="0"/>
        <w:adjustRightInd w:val="0"/>
        <w:spacing w:after="0" w:line="240" w:lineRule="auto"/>
        <w:ind w:left="426" w:firstLine="0"/>
        <w:jc w:val="both"/>
        <w:rPr>
          <w:rFonts w:asciiTheme="minorHAnsi" w:hAnsiTheme="minorHAnsi" w:cstheme="minorHAnsi"/>
          <w:sz w:val="23"/>
          <w:szCs w:val="23"/>
        </w:rPr>
      </w:pPr>
    </w:p>
    <w:p w:rsidR="00327659" w:rsidRDefault="000B146D" w:rsidP="00794F9C">
      <w:pPr>
        <w:pStyle w:val="ListParagraph"/>
        <w:numPr>
          <w:ilvl w:val="0"/>
          <w:numId w:val="10"/>
        </w:numPr>
        <w:autoSpaceDE w:val="0"/>
        <w:autoSpaceDN w:val="0"/>
        <w:adjustRightInd w:val="0"/>
        <w:spacing w:after="0" w:line="240" w:lineRule="auto"/>
        <w:ind w:left="426"/>
        <w:jc w:val="both"/>
        <w:rPr>
          <w:rFonts w:asciiTheme="minorHAnsi" w:hAnsiTheme="minorHAnsi" w:cstheme="minorHAnsi"/>
          <w:sz w:val="23"/>
          <w:szCs w:val="23"/>
        </w:rPr>
      </w:pPr>
      <w:r w:rsidRPr="00327659">
        <w:rPr>
          <w:rFonts w:asciiTheme="minorHAnsi" w:hAnsiTheme="minorHAnsi" w:cstheme="minorHAnsi"/>
          <w:sz w:val="23"/>
          <w:szCs w:val="23"/>
        </w:rPr>
        <w:t xml:space="preserve">Toute organisation mettant en </w:t>
      </w:r>
      <w:r w:rsidR="00832D4C">
        <w:rPr>
          <w:rFonts w:asciiTheme="minorHAnsi" w:hAnsiTheme="minorHAnsi" w:cstheme="minorHAnsi"/>
          <w:sz w:val="23"/>
          <w:szCs w:val="23"/>
        </w:rPr>
        <w:t>œuvre des</w:t>
      </w:r>
      <w:r w:rsidRPr="00327659">
        <w:rPr>
          <w:rFonts w:asciiTheme="minorHAnsi" w:hAnsiTheme="minorHAnsi" w:cstheme="minorHAnsi"/>
          <w:sz w:val="23"/>
          <w:szCs w:val="23"/>
        </w:rPr>
        <w:t xml:space="preserve"> programmes WASH est tenue de maintenir et de suivre leurs activités </w:t>
      </w:r>
      <w:r w:rsidR="00832D4C">
        <w:rPr>
          <w:rFonts w:asciiTheme="minorHAnsi" w:hAnsiTheme="minorHAnsi" w:cstheme="minorHAnsi"/>
          <w:sz w:val="23"/>
          <w:szCs w:val="23"/>
        </w:rPr>
        <w:t>par des visites terrain (là où cela est possible), ou par des tiers dans le nord (voir paragraphe sur le suivi-évaluation)</w:t>
      </w:r>
      <w:r w:rsidR="00327659" w:rsidRPr="00327659">
        <w:rPr>
          <w:rFonts w:asciiTheme="minorHAnsi" w:hAnsiTheme="minorHAnsi" w:cstheme="minorHAnsi"/>
          <w:sz w:val="23"/>
          <w:szCs w:val="23"/>
        </w:rPr>
        <w:t xml:space="preserve"> au moins </w:t>
      </w:r>
      <w:r w:rsidRPr="00327659">
        <w:rPr>
          <w:rFonts w:asciiTheme="minorHAnsi" w:hAnsiTheme="minorHAnsi" w:cstheme="minorHAnsi"/>
          <w:sz w:val="23"/>
          <w:szCs w:val="23"/>
        </w:rPr>
        <w:t>chaque</w:t>
      </w:r>
      <w:r w:rsidR="00832D4C">
        <w:rPr>
          <w:rFonts w:asciiTheme="minorHAnsi" w:hAnsiTheme="minorHAnsi" w:cstheme="minorHAnsi"/>
          <w:sz w:val="23"/>
          <w:szCs w:val="23"/>
        </w:rPr>
        <w:t xml:space="preserve"> deux semaine</w:t>
      </w:r>
      <w:r w:rsidR="00AD474F">
        <w:rPr>
          <w:rFonts w:asciiTheme="minorHAnsi" w:hAnsiTheme="minorHAnsi" w:cstheme="minorHAnsi"/>
          <w:sz w:val="23"/>
          <w:szCs w:val="23"/>
        </w:rPr>
        <w:t>s</w:t>
      </w:r>
      <w:r w:rsidRPr="00327659">
        <w:rPr>
          <w:rFonts w:asciiTheme="minorHAnsi" w:hAnsiTheme="minorHAnsi" w:cstheme="minorHAnsi"/>
          <w:sz w:val="23"/>
          <w:szCs w:val="23"/>
        </w:rPr>
        <w:t xml:space="preserve">, et d’en assurer la qualité (ex. s’assurer que les postes de lavage des mains aient </w:t>
      </w:r>
      <w:r w:rsidR="00832D4C">
        <w:rPr>
          <w:rFonts w:asciiTheme="minorHAnsi" w:hAnsiTheme="minorHAnsi" w:cstheme="minorHAnsi"/>
          <w:sz w:val="23"/>
          <w:szCs w:val="23"/>
        </w:rPr>
        <w:t>de l’eau et du savon disponible, l’eau est chlorée à domicile suite à la distribution de kits)</w:t>
      </w:r>
      <w:r w:rsidRPr="00327659">
        <w:rPr>
          <w:rFonts w:asciiTheme="minorHAnsi" w:hAnsiTheme="minorHAnsi" w:cstheme="minorHAnsi"/>
          <w:sz w:val="23"/>
          <w:szCs w:val="23"/>
        </w:rPr>
        <w:t>.</w:t>
      </w:r>
    </w:p>
    <w:p w:rsidR="00832D4C" w:rsidRDefault="00832D4C" w:rsidP="00832D4C">
      <w:pPr>
        <w:pStyle w:val="ListParagraph"/>
        <w:autoSpaceDE w:val="0"/>
        <w:autoSpaceDN w:val="0"/>
        <w:adjustRightInd w:val="0"/>
        <w:spacing w:after="0" w:line="240" w:lineRule="auto"/>
        <w:ind w:left="426" w:firstLine="0"/>
        <w:jc w:val="both"/>
        <w:rPr>
          <w:rFonts w:asciiTheme="minorHAnsi" w:hAnsiTheme="minorHAnsi" w:cstheme="minorHAnsi"/>
          <w:sz w:val="23"/>
          <w:szCs w:val="23"/>
        </w:rPr>
      </w:pPr>
    </w:p>
    <w:p w:rsidR="000B146D" w:rsidRPr="00327659" w:rsidRDefault="000B146D" w:rsidP="00794F9C">
      <w:pPr>
        <w:pStyle w:val="ListParagraph"/>
        <w:numPr>
          <w:ilvl w:val="0"/>
          <w:numId w:val="10"/>
        </w:numPr>
        <w:autoSpaceDE w:val="0"/>
        <w:autoSpaceDN w:val="0"/>
        <w:adjustRightInd w:val="0"/>
        <w:spacing w:after="0" w:line="240" w:lineRule="auto"/>
        <w:ind w:left="426"/>
        <w:jc w:val="both"/>
        <w:rPr>
          <w:rFonts w:asciiTheme="minorHAnsi" w:hAnsiTheme="minorHAnsi" w:cstheme="minorHAnsi"/>
          <w:sz w:val="23"/>
          <w:szCs w:val="23"/>
        </w:rPr>
      </w:pPr>
      <w:r w:rsidRPr="00327659">
        <w:rPr>
          <w:rFonts w:asciiTheme="minorHAnsi" w:hAnsiTheme="minorHAnsi" w:cstheme="minorHAnsi"/>
          <w:sz w:val="23"/>
          <w:szCs w:val="23"/>
        </w:rPr>
        <w:t xml:space="preserve"> </w:t>
      </w:r>
      <w:r w:rsidR="00832D4C">
        <w:rPr>
          <w:rFonts w:asciiTheme="minorHAnsi" w:hAnsiTheme="minorHAnsi" w:cstheme="minorHAnsi"/>
          <w:sz w:val="23"/>
          <w:szCs w:val="23"/>
        </w:rPr>
        <w:t>Le cluster WASH veillera très attentivement à ce que les interventions des partenaires WASH soient coordonnées pour éviter les failles en termes de couvertures mais également en termes de réponse programmatique (quantité et qualité d’eau, assainissement et promotion de l’hygiène).</w:t>
      </w:r>
    </w:p>
    <w:p w:rsidR="00832D4C" w:rsidRDefault="00832D4C" w:rsidP="00832D4C">
      <w:pPr>
        <w:pStyle w:val="ListParagraph"/>
        <w:ind w:left="360" w:firstLine="0"/>
        <w:rPr>
          <w:sz w:val="32"/>
        </w:rPr>
      </w:pPr>
    </w:p>
    <w:p w:rsidR="003A14B1" w:rsidRPr="003A14B1" w:rsidRDefault="003A14B1" w:rsidP="00794F9C">
      <w:pPr>
        <w:pStyle w:val="ListParagraph"/>
        <w:numPr>
          <w:ilvl w:val="0"/>
          <w:numId w:val="1"/>
        </w:numPr>
        <w:rPr>
          <w:sz w:val="32"/>
        </w:rPr>
      </w:pPr>
      <w:r w:rsidRPr="003A14B1">
        <w:rPr>
          <w:sz w:val="32"/>
        </w:rPr>
        <w:t xml:space="preserve">Objectif général </w:t>
      </w:r>
    </w:p>
    <w:p w:rsidR="003A14B1" w:rsidRPr="00F14167" w:rsidRDefault="00F14167" w:rsidP="00832D4C">
      <w:pPr>
        <w:ind w:left="0" w:firstLine="0"/>
        <w:jc w:val="both"/>
      </w:pPr>
      <w:r w:rsidRPr="00F14167">
        <w:t xml:space="preserve">Les partenaires du cluster WASH </w:t>
      </w:r>
      <w:r>
        <w:t xml:space="preserve">déclarent vouloir </w:t>
      </w:r>
      <w:r w:rsidRPr="00F14167">
        <w:t>améliorer</w:t>
      </w:r>
      <w:r>
        <w:t xml:space="preserve"> et maintenir</w:t>
      </w:r>
      <w:r w:rsidRPr="00F14167">
        <w:t xml:space="preserve"> </w:t>
      </w:r>
      <w:r>
        <w:t xml:space="preserve">la santé et la dignité des populations les plus vulnérables aux crises actuelles qui touchent le Mali, en ciblant leurs efforts sur la mise en œuvre rapide et efficace de programmes d’eau en qualité et quantité suffisante, d’assainissement, de promotion de l’hygiène et de lutte vectorielle.  </w:t>
      </w:r>
    </w:p>
    <w:p w:rsidR="00AC6670" w:rsidRDefault="00AC6670" w:rsidP="00794F9C">
      <w:pPr>
        <w:pStyle w:val="ListParagraph"/>
        <w:numPr>
          <w:ilvl w:val="0"/>
          <w:numId w:val="1"/>
        </w:numPr>
        <w:ind w:left="357" w:hanging="357"/>
        <w:rPr>
          <w:sz w:val="32"/>
        </w:rPr>
      </w:pPr>
      <w:r>
        <w:rPr>
          <w:sz w:val="32"/>
        </w:rPr>
        <w:t xml:space="preserve">Objectifs spécifiques </w:t>
      </w:r>
    </w:p>
    <w:p w:rsidR="00F14167" w:rsidRPr="00F14167" w:rsidRDefault="00F14167" w:rsidP="00832D4C">
      <w:pPr>
        <w:ind w:left="0" w:firstLine="0"/>
        <w:jc w:val="both"/>
      </w:pPr>
      <w:r>
        <w:t>Les objectifs spécifiques fixés par les partenaires sont :</w:t>
      </w:r>
    </w:p>
    <w:p w:rsidR="005B41F8" w:rsidRPr="00F14167" w:rsidRDefault="005B41F8" w:rsidP="00794F9C">
      <w:pPr>
        <w:pStyle w:val="ListParagraph"/>
        <w:numPr>
          <w:ilvl w:val="0"/>
          <w:numId w:val="9"/>
        </w:numPr>
        <w:jc w:val="both"/>
      </w:pPr>
      <w:r w:rsidRPr="00F14167">
        <w:t xml:space="preserve">Les besoins spécifiques des hommes, femmes, garçons et filles affectés par le conflit (populations déplacées, retournées, restées sur place et familles hôtes) sont couverts en matière d’eau potable, d’assainissement et d’hygiène, selon les standards internationaux minimum. </w:t>
      </w:r>
    </w:p>
    <w:p w:rsidR="005B41F8" w:rsidRPr="00F14167" w:rsidRDefault="005B41F8" w:rsidP="00794F9C">
      <w:pPr>
        <w:pStyle w:val="ListParagraph"/>
        <w:numPr>
          <w:ilvl w:val="0"/>
          <w:numId w:val="9"/>
        </w:numPr>
        <w:jc w:val="both"/>
      </w:pPr>
      <w:r w:rsidRPr="00F14167">
        <w:t xml:space="preserve">Les familles ayant au moins un enfant sévèrement malnutri bénéficient d’un accès à l’eau potable et l’assainissement et aux mesures de promotion de l’hygiène dans le respect des standards internationaux minimum et en fonction de leurs besoins spécifiques (homme, femme, filles, garçons) au centre de nutrition et à domicile. </w:t>
      </w:r>
      <w:r w:rsidR="00F14167">
        <w:tab/>
      </w:r>
    </w:p>
    <w:p w:rsidR="00F14167" w:rsidRPr="00F14167" w:rsidRDefault="005B41F8" w:rsidP="00794F9C">
      <w:pPr>
        <w:pStyle w:val="ListParagraph"/>
        <w:numPr>
          <w:ilvl w:val="0"/>
          <w:numId w:val="9"/>
        </w:numPr>
        <w:jc w:val="both"/>
      </w:pPr>
      <w:r w:rsidRPr="00F14167">
        <w:t xml:space="preserve">Des actions de prévention sont menées dans les zones à risque de choléra et une stratégie d’alerte précoce et de réponse rapide aux épidémies (choléra et paludisme) est opérationnelle au sein du cluster WASH. </w:t>
      </w:r>
    </w:p>
    <w:p w:rsidR="00AC6670" w:rsidRDefault="005B4C32" w:rsidP="00794F9C">
      <w:pPr>
        <w:pStyle w:val="ListParagraph"/>
        <w:numPr>
          <w:ilvl w:val="0"/>
          <w:numId w:val="1"/>
        </w:numPr>
        <w:ind w:left="357" w:hanging="357"/>
        <w:rPr>
          <w:sz w:val="32"/>
        </w:rPr>
      </w:pPr>
      <w:r w:rsidRPr="005B4C32">
        <w:rPr>
          <w:sz w:val="32"/>
        </w:rPr>
        <w:lastRenderedPageBreak/>
        <w:t xml:space="preserve">Résultats attendus </w:t>
      </w:r>
    </w:p>
    <w:p w:rsidR="005B41F8" w:rsidRPr="00AD474F" w:rsidRDefault="005B41F8" w:rsidP="00794F9C">
      <w:pPr>
        <w:pStyle w:val="ListParagraph"/>
        <w:numPr>
          <w:ilvl w:val="0"/>
          <w:numId w:val="9"/>
        </w:numPr>
        <w:jc w:val="both"/>
      </w:pPr>
      <w:r w:rsidRPr="00AD474F">
        <w:t xml:space="preserve">Les hommes, femmes, filles, garçons </w:t>
      </w:r>
      <w:r w:rsidR="00832D4C" w:rsidRPr="00AD474F">
        <w:t xml:space="preserve">vulnérables </w:t>
      </w:r>
      <w:r w:rsidRPr="00AD474F">
        <w:t>ont un accès sûr et équitable en termes d’eau et d’assainissement en fonction de leur besoins spécifiques, et connaissent les principaux risques pour la santé publique.</w:t>
      </w:r>
    </w:p>
    <w:p w:rsidR="005B41F8" w:rsidRPr="00AD474F" w:rsidRDefault="005B41F8" w:rsidP="00794F9C">
      <w:pPr>
        <w:pStyle w:val="ListParagraph"/>
        <w:numPr>
          <w:ilvl w:val="0"/>
          <w:numId w:val="9"/>
        </w:numPr>
        <w:jc w:val="both"/>
      </w:pPr>
      <w:r w:rsidRPr="00AD474F">
        <w:t>Les centres de santé et les hôpitaux fonctionnels</w:t>
      </w:r>
      <w:r w:rsidR="00832D4C" w:rsidRPr="00AD474F">
        <w:t>, notamment ceux</w:t>
      </w:r>
      <w:r w:rsidRPr="00AD474F">
        <w:t xml:space="preserve"> </w:t>
      </w:r>
      <w:r w:rsidR="00832D4C" w:rsidRPr="00AD474F">
        <w:t xml:space="preserve">prenant en charge le traitement de la malnutrition, </w:t>
      </w:r>
      <w:r w:rsidRPr="00AD474F">
        <w:t>sont appuyés en termes d’accès à l’eau potable et à l’assainissement</w:t>
      </w:r>
      <w:r w:rsidR="00F14167" w:rsidRPr="00AD474F">
        <w:t>.</w:t>
      </w:r>
    </w:p>
    <w:p w:rsidR="005B41F8" w:rsidRPr="00832D4C" w:rsidRDefault="005B41F8" w:rsidP="00794F9C">
      <w:pPr>
        <w:pStyle w:val="ListParagraph"/>
        <w:numPr>
          <w:ilvl w:val="0"/>
          <w:numId w:val="9"/>
        </w:numPr>
        <w:jc w:val="both"/>
      </w:pPr>
      <w:r w:rsidRPr="00AD474F">
        <w:t>Les familles ayant au moins un enfant sévèrement malnutri bénéficient d’un soutien complémentaire aux soins nutritionnels en matière de potabilisation de l’eau à domicile,</w:t>
      </w:r>
      <w:r w:rsidRPr="00832D4C">
        <w:t xml:space="preserve"> l’assainissement à domicile et de connaissance sur les mesures d’hygiène minimum, et bonne pratiques de soin (allaitement exclusif, alimentation de complémen</w:t>
      </w:r>
      <w:r w:rsidR="00F14167" w:rsidRPr="00832D4C">
        <w:t>t, lavage des mains au savon).</w:t>
      </w:r>
    </w:p>
    <w:p w:rsidR="005B41F8" w:rsidRPr="00832D4C" w:rsidRDefault="005B41F8" w:rsidP="00794F9C">
      <w:pPr>
        <w:pStyle w:val="ListParagraph"/>
        <w:numPr>
          <w:ilvl w:val="0"/>
          <w:numId w:val="9"/>
        </w:numPr>
        <w:jc w:val="both"/>
      </w:pPr>
      <w:r w:rsidRPr="00832D4C">
        <w:t>Les centres de prise en charge nutritionnelle ont un accès à l’eau potable, à l’assainissement et à l’hygiène</w:t>
      </w:r>
      <w:r w:rsidR="00F14167" w:rsidRPr="00832D4C">
        <w:t>.</w:t>
      </w:r>
    </w:p>
    <w:p w:rsidR="005B41F8" w:rsidRPr="00832D4C" w:rsidRDefault="005B41F8" w:rsidP="00794F9C">
      <w:pPr>
        <w:pStyle w:val="ListParagraph"/>
        <w:numPr>
          <w:ilvl w:val="0"/>
          <w:numId w:val="9"/>
        </w:numPr>
        <w:jc w:val="both"/>
      </w:pPr>
      <w:r w:rsidRPr="00832D4C">
        <w:t xml:space="preserve">Un plan de contingence est élaboré permettant de mettre en œuvre le plan d’action de prévention et de riposte pour le choléra. </w:t>
      </w:r>
    </w:p>
    <w:p w:rsidR="005B4C32" w:rsidRPr="005B4C32" w:rsidRDefault="005B4C32" w:rsidP="00794F9C">
      <w:pPr>
        <w:pStyle w:val="ListParagraph"/>
        <w:numPr>
          <w:ilvl w:val="0"/>
          <w:numId w:val="1"/>
        </w:numPr>
        <w:rPr>
          <w:sz w:val="32"/>
        </w:rPr>
      </w:pPr>
      <w:r>
        <w:rPr>
          <w:sz w:val="32"/>
        </w:rPr>
        <w:t>Priorités d’actions</w:t>
      </w:r>
    </w:p>
    <w:p w:rsidR="00544FA9" w:rsidRPr="004E6DEF" w:rsidRDefault="00544FA9" w:rsidP="004E6DEF">
      <w:pPr>
        <w:ind w:left="0" w:firstLine="0"/>
        <w:jc w:val="both"/>
      </w:pPr>
      <w:r w:rsidRPr="004E6DEF">
        <w:t xml:space="preserve">En 2012, les partenaires du Cluster EHA ont donc défini leurs priorités d’intervention comme étant: </w:t>
      </w:r>
    </w:p>
    <w:p w:rsidR="00544FA9" w:rsidRPr="004E6DEF" w:rsidRDefault="00544FA9" w:rsidP="00794F9C">
      <w:pPr>
        <w:pStyle w:val="ListParagraph"/>
        <w:numPr>
          <w:ilvl w:val="0"/>
          <w:numId w:val="11"/>
        </w:numPr>
        <w:autoSpaceDE w:val="0"/>
        <w:autoSpaceDN w:val="0"/>
        <w:adjustRightInd w:val="0"/>
        <w:spacing w:before="0" w:after="0" w:line="240" w:lineRule="auto"/>
        <w:jc w:val="both"/>
        <w:rPr>
          <w:rFonts w:asciiTheme="minorHAnsi" w:hAnsiTheme="minorHAnsi" w:cstheme="minorHAnsi"/>
          <w:color w:val="000000"/>
        </w:rPr>
      </w:pPr>
      <w:r w:rsidRPr="004E6DEF">
        <w:rPr>
          <w:rFonts w:asciiTheme="minorHAnsi" w:hAnsiTheme="minorHAnsi" w:cstheme="minorHAnsi"/>
          <w:color w:val="000000"/>
        </w:rPr>
        <w:t xml:space="preserve">La sécurisation d’un accès à l’eau potable, en quantité et qualité suffisantes, pour les populations les plus vulnérables (déplacées, restées, retournées, familles hôtes) et selon les besoins spécifiques des hommes, femmes, filles, garçons: </w:t>
      </w:r>
    </w:p>
    <w:p w:rsidR="00544FA9" w:rsidRPr="004E6DEF" w:rsidRDefault="00544FA9" w:rsidP="00794F9C">
      <w:pPr>
        <w:pStyle w:val="ListParagraph"/>
        <w:numPr>
          <w:ilvl w:val="1"/>
          <w:numId w:val="11"/>
        </w:numPr>
        <w:autoSpaceDE w:val="0"/>
        <w:autoSpaceDN w:val="0"/>
        <w:adjustRightInd w:val="0"/>
        <w:spacing w:before="0" w:after="74" w:line="240" w:lineRule="auto"/>
        <w:jc w:val="both"/>
        <w:rPr>
          <w:rFonts w:asciiTheme="minorHAnsi" w:hAnsiTheme="minorHAnsi" w:cstheme="minorHAnsi"/>
          <w:color w:val="000000"/>
        </w:rPr>
      </w:pPr>
      <w:r w:rsidRPr="004E6DEF">
        <w:rPr>
          <w:rFonts w:asciiTheme="minorHAnsi" w:hAnsiTheme="minorHAnsi" w:cstheme="minorHAnsi"/>
          <w:color w:val="000000"/>
        </w:rPr>
        <w:t xml:space="preserve">Assurer le fonctionnement en continu des réseaux d’adduction dans les grands centres urbains au nord et les villes de la zone tampon en approvisionnant en pièces de rechange, produits de traitement et de potabilisation de l’eau si besoin. </w:t>
      </w:r>
    </w:p>
    <w:p w:rsidR="00544FA9" w:rsidRPr="004E6DEF" w:rsidRDefault="00544FA9" w:rsidP="00794F9C">
      <w:pPr>
        <w:pStyle w:val="ListParagraph"/>
        <w:numPr>
          <w:ilvl w:val="1"/>
          <w:numId w:val="11"/>
        </w:numPr>
        <w:autoSpaceDE w:val="0"/>
        <w:autoSpaceDN w:val="0"/>
        <w:adjustRightInd w:val="0"/>
        <w:spacing w:before="0" w:after="74" w:line="240" w:lineRule="auto"/>
        <w:jc w:val="both"/>
        <w:rPr>
          <w:rFonts w:asciiTheme="minorHAnsi" w:hAnsiTheme="minorHAnsi" w:cstheme="minorHAnsi"/>
          <w:color w:val="000000"/>
        </w:rPr>
      </w:pPr>
      <w:r w:rsidRPr="004E6DEF">
        <w:rPr>
          <w:rFonts w:asciiTheme="minorHAnsi" w:hAnsiTheme="minorHAnsi" w:cstheme="minorHAnsi"/>
          <w:color w:val="000000"/>
        </w:rPr>
        <w:t xml:space="preserve">Réhabilitation des points d’eau existants (puits, forages) et construction de nouveaux points d’eau – en prenant en compte, dans la définition des programmes, des besoins liés aux troupeaux d’éleveurs en coordination avec le Cluster Sécurité Alimentaire. </w:t>
      </w:r>
    </w:p>
    <w:p w:rsidR="00544FA9" w:rsidRPr="004E6DEF" w:rsidRDefault="00544FA9" w:rsidP="00794F9C">
      <w:pPr>
        <w:pStyle w:val="ListParagraph"/>
        <w:numPr>
          <w:ilvl w:val="1"/>
          <w:numId w:val="11"/>
        </w:numPr>
        <w:autoSpaceDE w:val="0"/>
        <w:autoSpaceDN w:val="0"/>
        <w:adjustRightInd w:val="0"/>
        <w:spacing w:before="0" w:after="0" w:line="240" w:lineRule="auto"/>
        <w:jc w:val="both"/>
        <w:rPr>
          <w:rFonts w:asciiTheme="minorHAnsi" w:hAnsiTheme="minorHAnsi" w:cstheme="minorHAnsi"/>
          <w:color w:val="000000"/>
        </w:rPr>
      </w:pPr>
      <w:r w:rsidRPr="004E6DEF">
        <w:rPr>
          <w:rFonts w:asciiTheme="minorHAnsi" w:hAnsiTheme="minorHAnsi" w:cstheme="minorHAnsi"/>
          <w:color w:val="000000"/>
        </w:rPr>
        <w:t xml:space="preserve">Approvisionnement par camion-citerne si aucune alternative n’est possible et qu’une stratégie de sortie est élaborée. </w:t>
      </w:r>
    </w:p>
    <w:p w:rsidR="00544FA9" w:rsidRPr="004E6DEF" w:rsidRDefault="00544FA9" w:rsidP="00794F9C">
      <w:pPr>
        <w:pStyle w:val="ListParagraph"/>
        <w:numPr>
          <w:ilvl w:val="0"/>
          <w:numId w:val="11"/>
        </w:numPr>
        <w:autoSpaceDE w:val="0"/>
        <w:autoSpaceDN w:val="0"/>
        <w:adjustRightInd w:val="0"/>
        <w:spacing w:before="0" w:after="162" w:line="240" w:lineRule="auto"/>
        <w:jc w:val="both"/>
        <w:rPr>
          <w:rFonts w:asciiTheme="minorHAnsi" w:hAnsiTheme="minorHAnsi" w:cstheme="minorHAnsi"/>
          <w:color w:val="000000"/>
        </w:rPr>
      </w:pPr>
      <w:r w:rsidRPr="004E6DEF">
        <w:rPr>
          <w:rFonts w:asciiTheme="minorHAnsi" w:hAnsiTheme="minorHAnsi" w:cstheme="minorHAnsi"/>
          <w:color w:val="000000"/>
        </w:rPr>
        <w:t xml:space="preserve">En appui du Cluster Santé, l’amélioration des conditions sanitaires dans les institutions prioritaires fonctionnelles (hôpitaux, centres de santé). </w:t>
      </w:r>
    </w:p>
    <w:p w:rsidR="004E6DEF" w:rsidRDefault="00544FA9" w:rsidP="00794F9C">
      <w:pPr>
        <w:pStyle w:val="ListParagraph"/>
        <w:numPr>
          <w:ilvl w:val="0"/>
          <w:numId w:val="11"/>
        </w:numPr>
        <w:autoSpaceDE w:val="0"/>
        <w:autoSpaceDN w:val="0"/>
        <w:adjustRightInd w:val="0"/>
        <w:spacing w:before="0" w:after="0" w:line="240" w:lineRule="auto"/>
        <w:jc w:val="both"/>
        <w:rPr>
          <w:rFonts w:asciiTheme="minorHAnsi" w:hAnsiTheme="minorHAnsi" w:cstheme="minorHAnsi"/>
          <w:color w:val="000000"/>
        </w:rPr>
      </w:pPr>
      <w:r w:rsidRPr="004E6DEF">
        <w:rPr>
          <w:rFonts w:asciiTheme="minorHAnsi" w:hAnsiTheme="minorHAnsi" w:cstheme="minorHAnsi"/>
          <w:color w:val="000000"/>
        </w:rPr>
        <w:t xml:space="preserve">L’information, l’éducation et la communication sur les bonnes pratiques d’hygiène avec un accent particulier sur le lavage des mains aux moments critiques avec du savon ou produit alternatif, la lutte contre la défécation à l’air libre et la «chaîne de l’eau», la collecte à la source, le transport, le traitement de l’eau et la conservation à domicile </w:t>
      </w:r>
    </w:p>
    <w:p w:rsidR="004E6DEF" w:rsidRPr="004E6DEF" w:rsidRDefault="00544FA9" w:rsidP="00794F9C">
      <w:pPr>
        <w:pStyle w:val="ListParagraph"/>
        <w:numPr>
          <w:ilvl w:val="0"/>
          <w:numId w:val="11"/>
        </w:numPr>
        <w:autoSpaceDE w:val="0"/>
        <w:autoSpaceDN w:val="0"/>
        <w:adjustRightInd w:val="0"/>
        <w:spacing w:before="0" w:after="0" w:line="240" w:lineRule="auto"/>
        <w:jc w:val="both"/>
        <w:rPr>
          <w:rFonts w:asciiTheme="minorHAnsi" w:hAnsiTheme="minorHAnsi" w:cstheme="minorHAnsi"/>
          <w:color w:val="000000"/>
        </w:rPr>
      </w:pPr>
      <w:r w:rsidRPr="004E6DEF">
        <w:rPr>
          <w:rFonts w:asciiTheme="minorHAnsi" w:hAnsiTheme="minorHAnsi" w:cstheme="minorHAnsi"/>
          <w:color w:val="000000"/>
        </w:rPr>
        <w:t xml:space="preserve">La distribution de kits hygiène (savon, containers d’eau, produits/matériels permettant le traitement de l’eau à domicile) pour prévenir les maladies diarrhéiques – en particulier le choléra – et des kits de prévention malaria. </w:t>
      </w:r>
    </w:p>
    <w:p w:rsidR="00544FA9" w:rsidRPr="004E6DEF" w:rsidRDefault="00544FA9" w:rsidP="00794F9C">
      <w:pPr>
        <w:pStyle w:val="ListParagraph"/>
        <w:numPr>
          <w:ilvl w:val="0"/>
          <w:numId w:val="11"/>
        </w:numPr>
        <w:autoSpaceDE w:val="0"/>
        <w:autoSpaceDN w:val="0"/>
        <w:adjustRightInd w:val="0"/>
        <w:spacing w:before="0" w:after="0" w:line="240" w:lineRule="auto"/>
        <w:jc w:val="both"/>
        <w:rPr>
          <w:rFonts w:asciiTheme="minorHAnsi" w:hAnsiTheme="minorHAnsi" w:cstheme="minorHAnsi"/>
          <w:color w:val="000000"/>
        </w:rPr>
      </w:pPr>
      <w:r w:rsidRPr="004E6DEF">
        <w:rPr>
          <w:rFonts w:asciiTheme="minorHAnsi" w:hAnsiTheme="minorHAnsi" w:cstheme="minorHAnsi"/>
          <w:color w:val="000000"/>
        </w:rPr>
        <w:t xml:space="preserve">L’aménagement d’infrastructures d’assainissement et de lavage de mains temporaires en respectant les besoins spécifiques des bénéficiaires en fonction de leur sexe et leur âge (femmes/hommes/filles/garçons) dans les sites de rassemblement de déplacés. </w:t>
      </w:r>
    </w:p>
    <w:p w:rsidR="00544FA9" w:rsidRPr="004E6DEF" w:rsidRDefault="00544FA9" w:rsidP="00794F9C">
      <w:pPr>
        <w:pStyle w:val="ListParagraph"/>
        <w:numPr>
          <w:ilvl w:val="0"/>
          <w:numId w:val="11"/>
        </w:numPr>
        <w:autoSpaceDE w:val="0"/>
        <w:autoSpaceDN w:val="0"/>
        <w:adjustRightInd w:val="0"/>
        <w:spacing w:before="0" w:after="0" w:line="240" w:lineRule="auto"/>
        <w:jc w:val="both"/>
        <w:rPr>
          <w:rFonts w:asciiTheme="minorHAnsi" w:hAnsiTheme="minorHAnsi" w:cstheme="minorHAnsi"/>
          <w:color w:val="000000"/>
        </w:rPr>
      </w:pPr>
      <w:r w:rsidRPr="004E6DEF">
        <w:rPr>
          <w:rFonts w:asciiTheme="minorHAnsi" w:hAnsiTheme="minorHAnsi" w:cstheme="minorHAnsi"/>
          <w:color w:val="000000"/>
        </w:rPr>
        <w:t>L’amélioration des capacités des infrastructures d’eau et d’assainissement dans les villages où le ratio population déplacée et familles hôtes ne permet plus d’assu</w:t>
      </w:r>
      <w:r w:rsidR="00AD474F">
        <w:rPr>
          <w:rFonts w:asciiTheme="minorHAnsi" w:hAnsiTheme="minorHAnsi" w:cstheme="minorHAnsi"/>
          <w:color w:val="000000"/>
        </w:rPr>
        <w:t>rer les indicateurs minimaux (10-15</w:t>
      </w:r>
      <w:r w:rsidRPr="004E6DEF">
        <w:rPr>
          <w:rFonts w:asciiTheme="minorHAnsi" w:hAnsiTheme="minorHAnsi" w:cstheme="minorHAnsi"/>
          <w:color w:val="000000"/>
        </w:rPr>
        <w:t xml:space="preserve"> L/p/jour). </w:t>
      </w:r>
    </w:p>
    <w:p w:rsidR="00544FA9" w:rsidRDefault="00544FA9" w:rsidP="00794F9C">
      <w:pPr>
        <w:pStyle w:val="ListParagraph"/>
        <w:numPr>
          <w:ilvl w:val="0"/>
          <w:numId w:val="11"/>
        </w:numPr>
        <w:autoSpaceDE w:val="0"/>
        <w:autoSpaceDN w:val="0"/>
        <w:adjustRightInd w:val="0"/>
        <w:spacing w:before="0" w:after="0" w:line="240" w:lineRule="auto"/>
        <w:jc w:val="both"/>
        <w:rPr>
          <w:rFonts w:asciiTheme="minorHAnsi" w:hAnsiTheme="minorHAnsi" w:cstheme="minorHAnsi"/>
          <w:color w:val="000000"/>
        </w:rPr>
      </w:pPr>
      <w:r w:rsidRPr="004E6DEF">
        <w:rPr>
          <w:rFonts w:asciiTheme="minorHAnsi" w:hAnsiTheme="minorHAnsi" w:cstheme="minorHAnsi"/>
          <w:color w:val="000000"/>
        </w:rPr>
        <w:lastRenderedPageBreak/>
        <w:t xml:space="preserve">La mise en place de mécanismes de surveillance communautaire, afin d’impliquer les communautés dans la réponse humanitaire et également dans le </w:t>
      </w:r>
      <w:r w:rsidR="00AD474F">
        <w:rPr>
          <w:rFonts w:asciiTheme="minorHAnsi" w:hAnsiTheme="minorHAnsi" w:cstheme="minorHAnsi"/>
          <w:color w:val="000000"/>
        </w:rPr>
        <w:t>Système d’alerte Précoce</w:t>
      </w:r>
      <w:r w:rsidRPr="004E6DEF">
        <w:rPr>
          <w:rFonts w:asciiTheme="minorHAnsi" w:hAnsiTheme="minorHAnsi" w:cstheme="minorHAnsi"/>
          <w:color w:val="000000"/>
        </w:rPr>
        <w:t xml:space="preserve">, notamment en cas d’épidémie de choléra. </w:t>
      </w:r>
    </w:p>
    <w:p w:rsidR="00AD474F" w:rsidRDefault="00AD474F" w:rsidP="00AD474F">
      <w:pPr>
        <w:pStyle w:val="ListParagraph"/>
        <w:ind w:left="360" w:firstLine="0"/>
        <w:rPr>
          <w:sz w:val="32"/>
        </w:rPr>
      </w:pPr>
    </w:p>
    <w:p w:rsidR="008E0F9F" w:rsidRPr="008E0F9F" w:rsidRDefault="005B4C32" w:rsidP="00794F9C">
      <w:pPr>
        <w:pStyle w:val="ListParagraph"/>
        <w:numPr>
          <w:ilvl w:val="0"/>
          <w:numId w:val="1"/>
        </w:numPr>
        <w:rPr>
          <w:sz w:val="32"/>
        </w:rPr>
      </w:pPr>
      <w:r>
        <w:rPr>
          <w:sz w:val="32"/>
        </w:rPr>
        <w:t xml:space="preserve">Objectifs des secteurs </w:t>
      </w:r>
    </w:p>
    <w:p w:rsidR="00CF341A" w:rsidRDefault="0045434E" w:rsidP="00794F9C">
      <w:pPr>
        <w:pStyle w:val="ListParagraph"/>
        <w:numPr>
          <w:ilvl w:val="1"/>
          <w:numId w:val="1"/>
        </w:numPr>
        <w:rPr>
          <w:sz w:val="32"/>
        </w:rPr>
      </w:pPr>
      <w:r>
        <w:rPr>
          <w:sz w:val="32"/>
        </w:rPr>
        <w:t xml:space="preserve">Approvisionnement en eau </w:t>
      </w:r>
      <w:r w:rsidR="001D04D3">
        <w:rPr>
          <w:sz w:val="32"/>
        </w:rPr>
        <w:t xml:space="preserve">potable </w:t>
      </w:r>
    </w:p>
    <w:p w:rsidR="003A14B1" w:rsidRPr="004406CD" w:rsidRDefault="005B4C32" w:rsidP="003A14B1">
      <w:pPr>
        <w:rPr>
          <w:b/>
        </w:rPr>
      </w:pPr>
      <w:r w:rsidRPr="004406CD">
        <w:rPr>
          <w:b/>
        </w:rPr>
        <w:t>Orientation stratégique</w:t>
      </w:r>
    </w:p>
    <w:p w:rsidR="005B4C32" w:rsidRDefault="00743CEB" w:rsidP="00AD474F">
      <w:pPr>
        <w:ind w:left="0" w:firstLine="0"/>
      </w:pPr>
      <w:r>
        <w:t>Fournir un accès équitable et sans risque à l’eau potable aux personnes vulnérables affectées par les crises</w:t>
      </w:r>
      <w:r w:rsidR="00371F7A">
        <w:t xml:space="preserve">, ainsi que dans les centres de santé et les écoles. </w:t>
      </w:r>
    </w:p>
    <w:p w:rsidR="005B4C32" w:rsidRPr="004406CD" w:rsidRDefault="005B4C32" w:rsidP="003A14B1">
      <w:pPr>
        <w:rPr>
          <w:b/>
        </w:rPr>
      </w:pPr>
      <w:r w:rsidRPr="004406CD">
        <w:rPr>
          <w:b/>
        </w:rPr>
        <w:t>Objectif</w:t>
      </w:r>
      <w:r w:rsidR="00371F7A">
        <w:rPr>
          <w:b/>
        </w:rPr>
        <w:t>s</w:t>
      </w:r>
    </w:p>
    <w:p w:rsidR="00743CEB" w:rsidRDefault="00743CEB" w:rsidP="00794F9C">
      <w:pPr>
        <w:pStyle w:val="ListParagraph"/>
        <w:numPr>
          <w:ilvl w:val="0"/>
          <w:numId w:val="2"/>
        </w:numPr>
        <w:ind w:left="426" w:hanging="426"/>
        <w:jc w:val="both"/>
      </w:pPr>
      <w:r>
        <w:t xml:space="preserve">Les personnes vulnérables affectées par les crises, avec un ciblage prioritaire sur les ménages déplacés, </w:t>
      </w:r>
      <w:r w:rsidR="00AD474F">
        <w:t xml:space="preserve">et leurs familles </w:t>
      </w:r>
      <w:r>
        <w:t>hôtes, les ménages ayant a</w:t>
      </w:r>
      <w:r w:rsidR="00AD474F">
        <w:t>u moins un enfant malnutri aigu</w:t>
      </w:r>
      <w:r>
        <w:t xml:space="preserve"> s</w:t>
      </w:r>
      <w:r w:rsidR="003B6194">
        <w:t>évère et les ménages vivants dans des zones à fort risque de choléra</w:t>
      </w:r>
      <w:r w:rsidR="004E6DEF">
        <w:t xml:space="preserve"> et en fonction du niveau de vulnérabilité</w:t>
      </w:r>
      <w:r>
        <w:t xml:space="preserve">, ont un accès </w:t>
      </w:r>
      <w:r w:rsidR="00B64594">
        <w:t>équitable et sécurisé</w:t>
      </w:r>
      <w:r w:rsidR="00F03B62">
        <w:t xml:space="preserve"> à une </w:t>
      </w:r>
      <w:r>
        <w:t>eau potable selon les standards internationaux minimum et selon leurs besoins spécifiques (prise en compte du genre, de personnes handicapées</w:t>
      </w:r>
      <w:r w:rsidR="00B64594">
        <w:t>,</w:t>
      </w:r>
      <w:r w:rsidR="003B6194">
        <w:t xml:space="preserve"> par exemple). </w:t>
      </w:r>
    </w:p>
    <w:p w:rsidR="00371F7A" w:rsidRDefault="00371F7A" w:rsidP="00794F9C">
      <w:pPr>
        <w:pStyle w:val="ListParagraph"/>
        <w:numPr>
          <w:ilvl w:val="0"/>
          <w:numId w:val="2"/>
        </w:numPr>
        <w:ind w:left="426" w:hanging="426"/>
        <w:jc w:val="both"/>
      </w:pPr>
      <w:r>
        <w:t>Les centres de santé</w:t>
      </w:r>
      <w:r w:rsidR="00584D19">
        <w:t>, de prise en charge nutritionnelle</w:t>
      </w:r>
      <w:r>
        <w:t xml:space="preserve"> et les écoles</w:t>
      </w:r>
      <w:r w:rsidR="00B64594">
        <w:t xml:space="preserve"> </w:t>
      </w:r>
      <w:proofErr w:type="gramStart"/>
      <w:r w:rsidR="00B64594">
        <w:t>fonctionnels</w:t>
      </w:r>
      <w:proofErr w:type="gramEnd"/>
      <w:r>
        <w:t xml:space="preserve"> ont un accès à l’eau potable </w:t>
      </w:r>
      <w:r w:rsidR="00B64594">
        <w:t xml:space="preserve">selon les standards internationaux minimum. </w:t>
      </w:r>
    </w:p>
    <w:p w:rsidR="005B4C32" w:rsidRPr="007779A0" w:rsidRDefault="005B4C32" w:rsidP="003A14B1">
      <w:pPr>
        <w:rPr>
          <w:b/>
        </w:rPr>
      </w:pPr>
      <w:r w:rsidRPr="007779A0">
        <w:rPr>
          <w:b/>
        </w:rPr>
        <w:t xml:space="preserve">Indicateurs </w:t>
      </w:r>
    </w:p>
    <w:p w:rsidR="005B4C32" w:rsidRDefault="004203A5" w:rsidP="00794F9C">
      <w:pPr>
        <w:pStyle w:val="ListParagraph"/>
        <w:numPr>
          <w:ilvl w:val="0"/>
          <w:numId w:val="3"/>
        </w:numPr>
        <w:spacing w:after="120" w:line="240" w:lineRule="auto"/>
        <w:ind w:left="164" w:hanging="164"/>
        <w:jc w:val="both"/>
        <w:rPr>
          <w:lang w:val="fr-CH"/>
        </w:rPr>
      </w:pPr>
      <w:r w:rsidRPr="00FC4690">
        <w:rPr>
          <w:lang w:val="fr-CH"/>
        </w:rPr>
        <w:t>Nombre</w:t>
      </w:r>
      <w:r>
        <w:rPr>
          <w:lang w:val="fr-CH"/>
        </w:rPr>
        <w:t xml:space="preserve"> </w:t>
      </w:r>
      <w:r w:rsidRPr="00FC4690">
        <w:rPr>
          <w:lang w:val="fr-CH"/>
        </w:rPr>
        <w:t>et</w:t>
      </w:r>
      <w:r>
        <w:rPr>
          <w:lang w:val="fr-CH"/>
        </w:rPr>
        <w:t xml:space="preserve"> </w:t>
      </w:r>
      <w:r w:rsidRPr="00FC4690">
        <w:rPr>
          <w:lang w:val="fr-CH"/>
        </w:rPr>
        <w:t>%</w:t>
      </w:r>
      <w:r>
        <w:rPr>
          <w:lang w:val="fr-CH"/>
        </w:rPr>
        <w:t xml:space="preserve"> </w:t>
      </w:r>
      <w:r w:rsidRPr="00FC4690">
        <w:rPr>
          <w:lang w:val="fr-CH"/>
        </w:rPr>
        <w:t>d’hommes,</w:t>
      </w:r>
      <w:r>
        <w:rPr>
          <w:lang w:val="fr-CH"/>
        </w:rPr>
        <w:t xml:space="preserve"> </w:t>
      </w:r>
      <w:r w:rsidRPr="00FC4690">
        <w:rPr>
          <w:lang w:val="fr-CH"/>
        </w:rPr>
        <w:t>femmes,</w:t>
      </w:r>
      <w:r>
        <w:rPr>
          <w:lang w:val="fr-CH"/>
        </w:rPr>
        <w:t xml:space="preserve"> </w:t>
      </w:r>
      <w:r w:rsidRPr="00FC4690">
        <w:rPr>
          <w:lang w:val="fr-CH"/>
        </w:rPr>
        <w:t>filles,</w:t>
      </w:r>
      <w:r>
        <w:rPr>
          <w:lang w:val="fr-CH"/>
        </w:rPr>
        <w:t xml:space="preserve"> </w:t>
      </w:r>
      <w:r w:rsidRPr="00FC4690">
        <w:rPr>
          <w:lang w:val="fr-CH"/>
        </w:rPr>
        <w:t>garçons</w:t>
      </w:r>
      <w:r>
        <w:rPr>
          <w:lang w:val="fr-CH"/>
        </w:rPr>
        <w:t xml:space="preserve"> </w:t>
      </w:r>
      <w:r w:rsidRPr="00FC4690">
        <w:rPr>
          <w:lang w:val="fr-CH"/>
        </w:rPr>
        <w:t>qui</w:t>
      </w:r>
      <w:r>
        <w:rPr>
          <w:lang w:val="fr-CH"/>
        </w:rPr>
        <w:t xml:space="preserve"> </w:t>
      </w:r>
      <w:r w:rsidRPr="00FC4690">
        <w:rPr>
          <w:lang w:val="fr-CH"/>
        </w:rPr>
        <w:t>ont</w:t>
      </w:r>
      <w:r>
        <w:rPr>
          <w:lang w:val="fr-CH"/>
        </w:rPr>
        <w:t xml:space="preserve"> </w:t>
      </w:r>
      <w:r w:rsidRPr="00FC4690">
        <w:rPr>
          <w:lang w:val="fr-CH"/>
        </w:rPr>
        <w:t>un</w:t>
      </w:r>
      <w:r>
        <w:rPr>
          <w:lang w:val="fr-CH"/>
        </w:rPr>
        <w:t xml:space="preserve"> </w:t>
      </w:r>
      <w:r w:rsidRPr="00FC4690">
        <w:rPr>
          <w:lang w:val="fr-CH"/>
        </w:rPr>
        <w:t>accès</w:t>
      </w:r>
      <w:r>
        <w:rPr>
          <w:lang w:val="fr-CH"/>
        </w:rPr>
        <w:t xml:space="preserve"> </w:t>
      </w:r>
      <w:r w:rsidRPr="00FC4690">
        <w:rPr>
          <w:lang w:val="fr-CH"/>
        </w:rPr>
        <w:t>sûr</w:t>
      </w:r>
      <w:r>
        <w:rPr>
          <w:lang w:val="fr-CH"/>
        </w:rPr>
        <w:t xml:space="preserve"> </w:t>
      </w:r>
      <w:r w:rsidRPr="00FC4690">
        <w:rPr>
          <w:lang w:val="fr-CH"/>
        </w:rPr>
        <w:t>et</w:t>
      </w:r>
      <w:r>
        <w:rPr>
          <w:lang w:val="fr-CH"/>
        </w:rPr>
        <w:t xml:space="preserve"> </w:t>
      </w:r>
      <w:r w:rsidRPr="00FC4690">
        <w:rPr>
          <w:lang w:val="fr-CH"/>
        </w:rPr>
        <w:t>équitable</w:t>
      </w:r>
      <w:r>
        <w:rPr>
          <w:lang w:val="fr-CH"/>
        </w:rPr>
        <w:t xml:space="preserve"> </w:t>
      </w:r>
      <w:r w:rsidRPr="00FC4690">
        <w:rPr>
          <w:lang w:val="fr-CH"/>
        </w:rPr>
        <w:t>à</w:t>
      </w:r>
      <w:r>
        <w:rPr>
          <w:lang w:val="fr-CH"/>
        </w:rPr>
        <w:t xml:space="preserve"> </w:t>
      </w:r>
      <w:r w:rsidRPr="00FC4690">
        <w:rPr>
          <w:lang w:val="fr-CH"/>
        </w:rPr>
        <w:t>au</w:t>
      </w:r>
      <w:r>
        <w:rPr>
          <w:lang w:val="fr-CH"/>
        </w:rPr>
        <w:t xml:space="preserve"> </w:t>
      </w:r>
      <w:r w:rsidRPr="00FC4690">
        <w:rPr>
          <w:lang w:val="fr-CH"/>
        </w:rPr>
        <w:t>moins</w:t>
      </w:r>
      <w:r>
        <w:rPr>
          <w:lang w:val="fr-CH"/>
        </w:rPr>
        <w:t xml:space="preserve"> </w:t>
      </w:r>
      <w:r w:rsidRPr="00FC4690">
        <w:rPr>
          <w:lang w:val="fr-CH"/>
        </w:rPr>
        <w:t>5L/p/jour</w:t>
      </w:r>
      <w:r>
        <w:rPr>
          <w:lang w:val="fr-CH"/>
        </w:rPr>
        <w:t xml:space="preserve"> </w:t>
      </w:r>
      <w:r w:rsidRPr="00FC4690">
        <w:rPr>
          <w:lang w:val="fr-CH"/>
        </w:rPr>
        <w:t>(pendant</w:t>
      </w:r>
      <w:r>
        <w:rPr>
          <w:lang w:val="fr-CH"/>
        </w:rPr>
        <w:t xml:space="preserve"> </w:t>
      </w:r>
      <w:r w:rsidRPr="00FC4690">
        <w:rPr>
          <w:lang w:val="fr-CH"/>
        </w:rPr>
        <w:t>les</w:t>
      </w:r>
      <w:r>
        <w:rPr>
          <w:lang w:val="fr-CH"/>
        </w:rPr>
        <w:t xml:space="preserve"> </w:t>
      </w:r>
      <w:r w:rsidRPr="00FC4690">
        <w:rPr>
          <w:lang w:val="fr-CH"/>
        </w:rPr>
        <w:t>2</w:t>
      </w:r>
      <w:r>
        <w:rPr>
          <w:lang w:val="fr-CH"/>
        </w:rPr>
        <w:t xml:space="preserve"> </w:t>
      </w:r>
      <w:r w:rsidRPr="00FC4690">
        <w:rPr>
          <w:lang w:val="fr-CH"/>
        </w:rPr>
        <w:t>premiers</w:t>
      </w:r>
      <w:r>
        <w:rPr>
          <w:lang w:val="fr-CH"/>
        </w:rPr>
        <w:t xml:space="preserve"> </w:t>
      </w:r>
      <w:r w:rsidRPr="00FC4690">
        <w:rPr>
          <w:lang w:val="fr-CH"/>
        </w:rPr>
        <w:t>mois)</w:t>
      </w:r>
      <w:r>
        <w:rPr>
          <w:lang w:val="fr-CH"/>
        </w:rPr>
        <w:t xml:space="preserve"> </w:t>
      </w:r>
      <w:r w:rsidRPr="00FC4690">
        <w:rPr>
          <w:lang w:val="fr-CH"/>
        </w:rPr>
        <w:t>puis</w:t>
      </w:r>
      <w:r>
        <w:rPr>
          <w:lang w:val="fr-CH"/>
        </w:rPr>
        <w:t xml:space="preserve"> </w:t>
      </w:r>
      <w:r w:rsidR="00AD474F">
        <w:rPr>
          <w:lang w:val="fr-CH"/>
        </w:rPr>
        <w:t xml:space="preserve">au moins </w:t>
      </w:r>
      <w:r w:rsidR="00993821">
        <w:rPr>
          <w:lang w:val="fr-CH"/>
        </w:rPr>
        <w:t xml:space="preserve">10 </w:t>
      </w:r>
      <w:r w:rsidRPr="00FC4690">
        <w:rPr>
          <w:lang w:val="fr-CH"/>
        </w:rPr>
        <w:t>L/p/jour</w:t>
      </w:r>
      <w:r w:rsidR="00AD474F">
        <w:rPr>
          <w:lang w:val="fr-CH"/>
        </w:rPr>
        <w:t>/</w:t>
      </w:r>
    </w:p>
    <w:p w:rsidR="00B64594" w:rsidRPr="00B64594" w:rsidRDefault="00B64594" w:rsidP="00794F9C">
      <w:pPr>
        <w:pStyle w:val="ListParagraph"/>
        <w:numPr>
          <w:ilvl w:val="0"/>
          <w:numId w:val="3"/>
        </w:numPr>
        <w:spacing w:after="120" w:line="240" w:lineRule="auto"/>
        <w:ind w:left="164" w:hanging="164"/>
        <w:jc w:val="both"/>
        <w:rPr>
          <w:lang w:val="fr-CH"/>
        </w:rPr>
      </w:pPr>
      <w:r>
        <w:rPr>
          <w:lang w:val="fr-CH"/>
        </w:rPr>
        <w:t xml:space="preserve">Nombre et </w:t>
      </w:r>
      <w:r w:rsidRPr="00FC4690">
        <w:rPr>
          <w:lang w:val="fr-CH"/>
        </w:rPr>
        <w:t>%</w:t>
      </w:r>
      <w:r>
        <w:rPr>
          <w:lang w:val="fr-CH"/>
        </w:rPr>
        <w:t xml:space="preserve"> </w:t>
      </w:r>
      <w:r w:rsidRPr="00FC4690">
        <w:rPr>
          <w:lang w:val="fr-CH"/>
        </w:rPr>
        <w:t>d’hommes,</w:t>
      </w:r>
      <w:r>
        <w:rPr>
          <w:lang w:val="fr-CH"/>
        </w:rPr>
        <w:t xml:space="preserve"> </w:t>
      </w:r>
      <w:r w:rsidRPr="00FC4690">
        <w:rPr>
          <w:lang w:val="fr-CH"/>
        </w:rPr>
        <w:t>femmes,</w:t>
      </w:r>
      <w:r>
        <w:rPr>
          <w:lang w:val="fr-CH"/>
        </w:rPr>
        <w:t xml:space="preserve"> </w:t>
      </w:r>
      <w:r w:rsidRPr="00FC4690">
        <w:rPr>
          <w:lang w:val="fr-CH"/>
        </w:rPr>
        <w:t>filles,</w:t>
      </w:r>
      <w:r>
        <w:rPr>
          <w:lang w:val="fr-CH"/>
        </w:rPr>
        <w:t xml:space="preserve"> </w:t>
      </w:r>
      <w:r w:rsidRPr="00FC4690">
        <w:rPr>
          <w:lang w:val="fr-CH"/>
        </w:rPr>
        <w:t>garçons</w:t>
      </w:r>
      <w:r>
        <w:rPr>
          <w:lang w:val="fr-CH"/>
        </w:rPr>
        <w:t xml:space="preserve"> qui consomment une eau ayant une concentration en </w:t>
      </w:r>
      <w:r w:rsidR="00AD474F">
        <w:rPr>
          <w:lang w:val="fr-CH"/>
        </w:rPr>
        <w:t>chlore résiduel</w:t>
      </w:r>
      <w:r>
        <w:rPr>
          <w:lang w:val="fr-CH"/>
        </w:rPr>
        <w:t xml:space="preserve"> supérieure ou égale à 0,5 mg/l. </w:t>
      </w:r>
    </w:p>
    <w:p w:rsidR="004203A5" w:rsidRPr="00FC4690" w:rsidRDefault="004203A5" w:rsidP="00794F9C">
      <w:pPr>
        <w:pStyle w:val="ListParagraph"/>
        <w:numPr>
          <w:ilvl w:val="0"/>
          <w:numId w:val="3"/>
        </w:numPr>
        <w:spacing w:after="120" w:line="240" w:lineRule="auto"/>
        <w:ind w:left="164" w:hanging="164"/>
        <w:jc w:val="both"/>
        <w:rPr>
          <w:lang w:val="fr-CH"/>
        </w:rPr>
      </w:pPr>
      <w:r w:rsidRPr="00FC4690">
        <w:rPr>
          <w:lang w:val="fr-CH"/>
        </w:rPr>
        <w:t>Nombre</w:t>
      </w:r>
      <w:r>
        <w:rPr>
          <w:lang w:val="fr-CH"/>
        </w:rPr>
        <w:t xml:space="preserve"> et % </w:t>
      </w:r>
      <w:r w:rsidRPr="00FC4690">
        <w:rPr>
          <w:lang w:val="fr-CH"/>
        </w:rPr>
        <w:t>de</w:t>
      </w:r>
      <w:r>
        <w:rPr>
          <w:lang w:val="fr-CH"/>
        </w:rPr>
        <w:t xml:space="preserve"> </w:t>
      </w:r>
      <w:r w:rsidRPr="00FC4690">
        <w:rPr>
          <w:lang w:val="fr-CH"/>
        </w:rPr>
        <w:t>centres</w:t>
      </w:r>
      <w:r>
        <w:rPr>
          <w:lang w:val="fr-CH"/>
        </w:rPr>
        <w:t xml:space="preserve"> </w:t>
      </w:r>
      <w:r w:rsidRPr="00FC4690">
        <w:rPr>
          <w:lang w:val="fr-CH"/>
        </w:rPr>
        <w:t>de</w:t>
      </w:r>
      <w:r>
        <w:rPr>
          <w:lang w:val="fr-CH"/>
        </w:rPr>
        <w:t xml:space="preserve"> </w:t>
      </w:r>
      <w:r w:rsidRPr="00FC4690">
        <w:rPr>
          <w:lang w:val="fr-CH"/>
        </w:rPr>
        <w:t>santé</w:t>
      </w:r>
      <w:r>
        <w:rPr>
          <w:lang w:val="fr-CH"/>
        </w:rPr>
        <w:t xml:space="preserve"> </w:t>
      </w:r>
      <w:r w:rsidR="001A64EC">
        <w:rPr>
          <w:lang w:val="fr-CH"/>
        </w:rPr>
        <w:t xml:space="preserve">et d’écoles </w:t>
      </w:r>
      <w:r w:rsidRPr="00FC4690">
        <w:rPr>
          <w:lang w:val="fr-CH"/>
        </w:rPr>
        <w:t>fonctionnels</w:t>
      </w:r>
      <w:r>
        <w:rPr>
          <w:lang w:val="fr-CH"/>
        </w:rPr>
        <w:t xml:space="preserve"> </w:t>
      </w:r>
      <w:r w:rsidR="001A64EC">
        <w:rPr>
          <w:lang w:val="fr-CH"/>
        </w:rPr>
        <w:t xml:space="preserve">ayant un accès à l’eau potable selon les standards </w:t>
      </w:r>
      <w:r w:rsidR="00584D19">
        <w:rPr>
          <w:lang w:val="fr-CH"/>
        </w:rPr>
        <w:t>SPHERE</w:t>
      </w:r>
      <w:r w:rsidR="001A64EC">
        <w:rPr>
          <w:lang w:val="fr-CH"/>
        </w:rPr>
        <w:t xml:space="preserve">. </w:t>
      </w:r>
    </w:p>
    <w:p w:rsidR="005B4C32" w:rsidRPr="00371F7A" w:rsidRDefault="005B4C32" w:rsidP="003A14B1">
      <w:pPr>
        <w:rPr>
          <w:b/>
        </w:rPr>
      </w:pPr>
      <w:r w:rsidRPr="00371F7A">
        <w:rPr>
          <w:b/>
        </w:rPr>
        <w:t>Pratiques et principes opérationnels</w:t>
      </w:r>
    </w:p>
    <w:p w:rsidR="00573EDA" w:rsidRDefault="00573EDA" w:rsidP="00794F9C">
      <w:pPr>
        <w:pStyle w:val="ListParagraph"/>
        <w:numPr>
          <w:ilvl w:val="0"/>
          <w:numId w:val="4"/>
        </w:numPr>
        <w:autoSpaceDE w:val="0"/>
        <w:autoSpaceDN w:val="0"/>
        <w:adjustRightInd w:val="0"/>
        <w:spacing w:after="0" w:line="240" w:lineRule="auto"/>
        <w:ind w:left="426" w:hanging="426"/>
        <w:jc w:val="both"/>
        <w:rPr>
          <w:rFonts w:cs="Calibri"/>
          <w:color w:val="000000"/>
          <w:sz w:val="23"/>
          <w:szCs w:val="23"/>
        </w:rPr>
      </w:pPr>
      <w:r>
        <w:rPr>
          <w:rFonts w:cs="Calibri"/>
          <w:color w:val="000000"/>
          <w:sz w:val="23"/>
          <w:szCs w:val="23"/>
        </w:rPr>
        <w:t xml:space="preserve">Les personnes ciblées en priorité sont celles le plus gravement affectées par les crises et qui ont le moins de capacité de faire face : </w:t>
      </w:r>
      <w:r w:rsidR="005A6B8C">
        <w:rPr>
          <w:rFonts w:cs="Calibri"/>
          <w:color w:val="000000"/>
          <w:sz w:val="23"/>
          <w:szCs w:val="23"/>
        </w:rPr>
        <w:t xml:space="preserve">ménages déplacés, ménages hôtes, ménages avec au moins un enfant malnutris aigue sévère, ménages vivant dans une zone à risque de choléra, ménages gérés par une femme seule, personnes handicapées. </w:t>
      </w:r>
    </w:p>
    <w:p w:rsidR="002B1B5E" w:rsidRDefault="005A6B8C" w:rsidP="00794F9C">
      <w:pPr>
        <w:pStyle w:val="ListParagraph"/>
        <w:numPr>
          <w:ilvl w:val="0"/>
          <w:numId w:val="4"/>
        </w:numPr>
        <w:autoSpaceDE w:val="0"/>
        <w:autoSpaceDN w:val="0"/>
        <w:adjustRightInd w:val="0"/>
        <w:spacing w:after="0" w:line="240" w:lineRule="auto"/>
        <w:ind w:left="426" w:hanging="426"/>
        <w:jc w:val="both"/>
        <w:rPr>
          <w:rFonts w:cs="Calibri"/>
          <w:color w:val="000000"/>
          <w:sz w:val="23"/>
          <w:szCs w:val="23"/>
        </w:rPr>
      </w:pPr>
      <w:r w:rsidRPr="002B1B5E">
        <w:rPr>
          <w:rFonts w:cs="Calibri"/>
          <w:color w:val="000000"/>
          <w:sz w:val="23"/>
          <w:szCs w:val="23"/>
        </w:rPr>
        <w:t>Le ciblage doit se faire sur une analyse fine des besoins</w:t>
      </w:r>
      <w:r w:rsidR="00BF16F7">
        <w:rPr>
          <w:rFonts w:cs="Calibri"/>
          <w:color w:val="000000"/>
          <w:sz w:val="23"/>
          <w:szCs w:val="23"/>
        </w:rPr>
        <w:t xml:space="preserve"> et la priorisation des zones d’intervention est recommandée par une étude de risque</w:t>
      </w:r>
      <w:r w:rsidR="00C057D7">
        <w:rPr>
          <w:rFonts w:cs="Calibri"/>
          <w:color w:val="000000"/>
          <w:sz w:val="23"/>
          <w:szCs w:val="23"/>
        </w:rPr>
        <w:t>s</w:t>
      </w:r>
      <w:r w:rsidR="00BF16F7">
        <w:rPr>
          <w:rFonts w:cs="Calibri"/>
          <w:color w:val="000000"/>
          <w:sz w:val="23"/>
          <w:szCs w:val="23"/>
        </w:rPr>
        <w:t xml:space="preserve"> sanitaire</w:t>
      </w:r>
      <w:r w:rsidR="00C057D7">
        <w:rPr>
          <w:rFonts w:cs="Calibri"/>
          <w:color w:val="000000"/>
          <w:sz w:val="23"/>
          <w:szCs w:val="23"/>
        </w:rPr>
        <w:t>s</w:t>
      </w:r>
      <w:r w:rsidR="00AD474F">
        <w:rPr>
          <w:rFonts w:cs="Calibri"/>
          <w:color w:val="000000"/>
          <w:sz w:val="23"/>
          <w:szCs w:val="23"/>
        </w:rPr>
        <w:t>.</w:t>
      </w:r>
    </w:p>
    <w:p w:rsidR="00881BD0" w:rsidRDefault="00881BD0" w:rsidP="00794F9C">
      <w:pPr>
        <w:pStyle w:val="ListParagraph"/>
        <w:numPr>
          <w:ilvl w:val="0"/>
          <w:numId w:val="4"/>
        </w:numPr>
        <w:autoSpaceDE w:val="0"/>
        <w:autoSpaceDN w:val="0"/>
        <w:adjustRightInd w:val="0"/>
        <w:spacing w:after="0" w:line="240" w:lineRule="auto"/>
        <w:ind w:left="426" w:hanging="426"/>
        <w:jc w:val="both"/>
        <w:rPr>
          <w:rFonts w:cs="Calibri"/>
          <w:color w:val="000000"/>
          <w:sz w:val="23"/>
          <w:szCs w:val="23"/>
        </w:rPr>
      </w:pPr>
      <w:r>
        <w:rPr>
          <w:rFonts w:cs="Calibri"/>
          <w:color w:val="000000"/>
          <w:sz w:val="23"/>
          <w:szCs w:val="23"/>
        </w:rPr>
        <w:t xml:space="preserve">Toute intervention visant à améliorer l’accès à l’eau potable d’un groupe de personnes doit comporter en amont une réflexion visant à minimiser au maximum les risques sécuritaires (approche Do no </w:t>
      </w:r>
      <w:proofErr w:type="spellStart"/>
      <w:r>
        <w:rPr>
          <w:rFonts w:cs="Calibri"/>
          <w:color w:val="000000"/>
          <w:sz w:val="23"/>
          <w:szCs w:val="23"/>
        </w:rPr>
        <w:t>Harm</w:t>
      </w:r>
      <w:proofErr w:type="spellEnd"/>
      <w:r>
        <w:rPr>
          <w:rFonts w:cs="Calibri"/>
          <w:color w:val="000000"/>
          <w:sz w:val="23"/>
          <w:szCs w:val="23"/>
        </w:rPr>
        <w:t>)</w:t>
      </w:r>
      <w:r w:rsidR="00AD474F">
        <w:rPr>
          <w:rFonts w:cs="Calibri"/>
          <w:color w:val="000000"/>
          <w:sz w:val="23"/>
          <w:szCs w:val="23"/>
        </w:rPr>
        <w:t>.</w:t>
      </w:r>
    </w:p>
    <w:p w:rsidR="00BF16F7" w:rsidRDefault="00BF16F7" w:rsidP="00794F9C">
      <w:pPr>
        <w:pStyle w:val="ListParagraph"/>
        <w:numPr>
          <w:ilvl w:val="0"/>
          <w:numId w:val="4"/>
        </w:numPr>
        <w:autoSpaceDE w:val="0"/>
        <w:autoSpaceDN w:val="0"/>
        <w:adjustRightInd w:val="0"/>
        <w:spacing w:after="0" w:line="240" w:lineRule="auto"/>
        <w:ind w:left="426" w:hanging="426"/>
        <w:jc w:val="both"/>
        <w:rPr>
          <w:rFonts w:cs="Calibri"/>
          <w:color w:val="000000"/>
          <w:sz w:val="23"/>
          <w:szCs w:val="23"/>
        </w:rPr>
      </w:pPr>
      <w:r>
        <w:rPr>
          <w:rFonts w:cs="Calibri"/>
          <w:color w:val="000000"/>
          <w:sz w:val="23"/>
          <w:szCs w:val="23"/>
        </w:rPr>
        <w:t xml:space="preserve">La couverture des besoins minimaux pour un large nombre de personnes est </w:t>
      </w:r>
      <w:r w:rsidR="00C057D7">
        <w:rPr>
          <w:rFonts w:cs="Calibri"/>
          <w:color w:val="000000"/>
          <w:sz w:val="23"/>
          <w:szCs w:val="23"/>
        </w:rPr>
        <w:t>préférée</w:t>
      </w:r>
      <w:r>
        <w:rPr>
          <w:rFonts w:cs="Calibri"/>
          <w:color w:val="000000"/>
          <w:sz w:val="23"/>
          <w:szCs w:val="23"/>
        </w:rPr>
        <w:t xml:space="preserve"> à la couverture totale des besoins pour un nombre restreint de personnes</w:t>
      </w:r>
      <w:r w:rsidR="00AD474F">
        <w:rPr>
          <w:rFonts w:cs="Calibri"/>
          <w:color w:val="000000"/>
          <w:sz w:val="23"/>
          <w:szCs w:val="23"/>
        </w:rPr>
        <w:t>.</w:t>
      </w:r>
    </w:p>
    <w:p w:rsidR="002B1B5E" w:rsidRDefault="002B1B5E" w:rsidP="00794F9C">
      <w:pPr>
        <w:pStyle w:val="ListParagraph"/>
        <w:numPr>
          <w:ilvl w:val="0"/>
          <w:numId w:val="4"/>
        </w:numPr>
        <w:autoSpaceDE w:val="0"/>
        <w:autoSpaceDN w:val="0"/>
        <w:adjustRightInd w:val="0"/>
        <w:spacing w:after="0" w:line="240" w:lineRule="auto"/>
        <w:ind w:left="426" w:hanging="426"/>
        <w:jc w:val="both"/>
        <w:rPr>
          <w:rFonts w:cs="Calibri"/>
          <w:color w:val="000000"/>
          <w:sz w:val="23"/>
          <w:szCs w:val="23"/>
        </w:rPr>
      </w:pPr>
      <w:r>
        <w:rPr>
          <w:rFonts w:cs="Calibri"/>
          <w:color w:val="000000"/>
          <w:sz w:val="23"/>
          <w:szCs w:val="23"/>
        </w:rPr>
        <w:t>Les travaux de réhabilitation de points d’</w:t>
      </w:r>
      <w:r w:rsidR="00C057D7">
        <w:rPr>
          <w:rFonts w:cs="Calibri"/>
          <w:color w:val="000000"/>
          <w:sz w:val="23"/>
          <w:szCs w:val="23"/>
        </w:rPr>
        <w:t>eau sont privilégiés</w:t>
      </w:r>
      <w:r>
        <w:rPr>
          <w:rFonts w:cs="Calibri"/>
          <w:color w:val="000000"/>
          <w:sz w:val="23"/>
          <w:szCs w:val="23"/>
        </w:rPr>
        <w:t xml:space="preserve"> à la construction de nouveaux points d’eau chaque fois que cela est possible</w:t>
      </w:r>
      <w:r w:rsidR="00AD474F">
        <w:rPr>
          <w:rFonts w:cs="Calibri"/>
          <w:color w:val="000000"/>
          <w:sz w:val="23"/>
          <w:szCs w:val="23"/>
        </w:rPr>
        <w:t>.</w:t>
      </w:r>
    </w:p>
    <w:p w:rsidR="002B1B5E" w:rsidRDefault="00573EDA" w:rsidP="00794F9C">
      <w:pPr>
        <w:pStyle w:val="ListParagraph"/>
        <w:numPr>
          <w:ilvl w:val="0"/>
          <w:numId w:val="4"/>
        </w:numPr>
        <w:autoSpaceDE w:val="0"/>
        <w:autoSpaceDN w:val="0"/>
        <w:adjustRightInd w:val="0"/>
        <w:spacing w:after="0" w:line="240" w:lineRule="auto"/>
        <w:ind w:left="426" w:hanging="426"/>
        <w:jc w:val="both"/>
        <w:rPr>
          <w:rFonts w:cs="Calibri"/>
          <w:color w:val="000000"/>
          <w:sz w:val="23"/>
          <w:szCs w:val="23"/>
        </w:rPr>
      </w:pPr>
      <w:r w:rsidRPr="00573EDA">
        <w:rPr>
          <w:rFonts w:cs="Calibri"/>
          <w:color w:val="000000"/>
          <w:sz w:val="23"/>
          <w:szCs w:val="23"/>
        </w:rPr>
        <w:lastRenderedPageBreak/>
        <w:t>Tous les travaux d'infrastructures doivent être accompagnés d'une formation appropriée, de fourniture équipements et outils pour la maintenance, d’un système de recouvrement de coûts partiels pour les réparations futures et la maintenance générale par le biais des Comités Eau et la</w:t>
      </w:r>
      <w:r w:rsidR="00881BD0">
        <w:rPr>
          <w:rFonts w:cs="Calibri"/>
          <w:color w:val="000000"/>
          <w:sz w:val="23"/>
          <w:szCs w:val="23"/>
        </w:rPr>
        <w:t xml:space="preserve"> mobilisation des utilisateurs</w:t>
      </w:r>
      <w:r w:rsidR="00AD474F">
        <w:rPr>
          <w:rFonts w:cs="Calibri"/>
          <w:color w:val="000000"/>
          <w:sz w:val="23"/>
          <w:szCs w:val="23"/>
        </w:rPr>
        <w:t>.</w:t>
      </w:r>
    </w:p>
    <w:p w:rsidR="00881BD0" w:rsidRDefault="00881BD0" w:rsidP="00794F9C">
      <w:pPr>
        <w:pStyle w:val="ListParagraph"/>
        <w:numPr>
          <w:ilvl w:val="0"/>
          <w:numId w:val="4"/>
        </w:numPr>
        <w:autoSpaceDE w:val="0"/>
        <w:autoSpaceDN w:val="0"/>
        <w:adjustRightInd w:val="0"/>
        <w:spacing w:after="0" w:line="240" w:lineRule="auto"/>
        <w:ind w:left="426" w:hanging="426"/>
        <w:jc w:val="both"/>
        <w:rPr>
          <w:rFonts w:cs="Calibri"/>
          <w:color w:val="000000"/>
          <w:sz w:val="23"/>
          <w:szCs w:val="23"/>
        </w:rPr>
      </w:pPr>
      <w:r>
        <w:rPr>
          <w:rFonts w:cs="Calibri"/>
          <w:color w:val="000000"/>
          <w:sz w:val="23"/>
          <w:szCs w:val="23"/>
        </w:rPr>
        <w:t>Les informations techniques concernant les activités sur des infrastructures hydrauliques (diagnostiques, réhabilitations, constructions) doivent être capitalisées et transmises aux services techniques adéquats (</w:t>
      </w:r>
      <w:r w:rsidR="00AD474F">
        <w:rPr>
          <w:rFonts w:cs="Calibri"/>
          <w:color w:val="000000"/>
          <w:sz w:val="23"/>
          <w:szCs w:val="23"/>
          <w:highlight w:val="yellow"/>
        </w:rPr>
        <w:t>à</w:t>
      </w:r>
      <w:r w:rsidRPr="00AD474F">
        <w:rPr>
          <w:rFonts w:cs="Calibri"/>
          <w:color w:val="000000"/>
          <w:sz w:val="23"/>
          <w:szCs w:val="23"/>
          <w:highlight w:val="yellow"/>
        </w:rPr>
        <w:t xml:space="preserve"> préciser</w:t>
      </w:r>
      <w:r>
        <w:rPr>
          <w:rFonts w:cs="Calibri"/>
          <w:color w:val="000000"/>
          <w:sz w:val="23"/>
          <w:szCs w:val="23"/>
        </w:rPr>
        <w:t>)</w:t>
      </w:r>
      <w:r w:rsidR="00D64A96">
        <w:rPr>
          <w:rFonts w:cs="Calibri"/>
          <w:color w:val="000000"/>
          <w:sz w:val="23"/>
          <w:szCs w:val="23"/>
        </w:rPr>
        <w:t xml:space="preserve">. En fonction de l’accessibilité de la zone, les services techniques participent à la réception des infrastructures construites. </w:t>
      </w:r>
    </w:p>
    <w:p w:rsidR="00573EDA" w:rsidRDefault="00573EDA" w:rsidP="00794F9C">
      <w:pPr>
        <w:pStyle w:val="ListParagraph"/>
        <w:numPr>
          <w:ilvl w:val="0"/>
          <w:numId w:val="4"/>
        </w:numPr>
        <w:autoSpaceDE w:val="0"/>
        <w:autoSpaceDN w:val="0"/>
        <w:adjustRightInd w:val="0"/>
        <w:spacing w:after="0" w:line="240" w:lineRule="auto"/>
        <w:ind w:left="426" w:hanging="426"/>
        <w:jc w:val="both"/>
        <w:rPr>
          <w:rFonts w:cs="Calibri"/>
          <w:color w:val="000000"/>
          <w:sz w:val="23"/>
          <w:szCs w:val="23"/>
        </w:rPr>
      </w:pPr>
      <w:r w:rsidRPr="002B1B5E">
        <w:rPr>
          <w:rFonts w:cs="Calibri"/>
          <w:color w:val="000000"/>
          <w:sz w:val="23"/>
          <w:szCs w:val="23"/>
        </w:rPr>
        <w:t xml:space="preserve">La fourniture de système de traitement de l’eau à domicile doit être accompagnée d'activités IEC appropriées et proportionnées qui devraient inclure la distribution de brochures explicatives et des explications verbales. </w:t>
      </w:r>
    </w:p>
    <w:p w:rsidR="00AE1386" w:rsidRDefault="00C057D7" w:rsidP="00794F9C">
      <w:pPr>
        <w:pStyle w:val="ListParagraph"/>
        <w:numPr>
          <w:ilvl w:val="0"/>
          <w:numId w:val="4"/>
        </w:numPr>
        <w:autoSpaceDE w:val="0"/>
        <w:autoSpaceDN w:val="0"/>
        <w:adjustRightInd w:val="0"/>
        <w:spacing w:after="0" w:line="240" w:lineRule="auto"/>
        <w:ind w:left="426" w:hanging="426"/>
        <w:jc w:val="both"/>
        <w:rPr>
          <w:rFonts w:cs="Calibri"/>
          <w:color w:val="000000"/>
          <w:sz w:val="23"/>
          <w:szCs w:val="23"/>
        </w:rPr>
      </w:pPr>
      <w:r>
        <w:rPr>
          <w:rFonts w:cs="Calibri"/>
          <w:color w:val="000000"/>
          <w:sz w:val="23"/>
          <w:szCs w:val="23"/>
        </w:rPr>
        <w:t xml:space="preserve">Le choix du type de produits de traitement de l’eau à domicile fournis aux ménages bénéficiaires doit être orienté selon la qualité de l’eau brute : agent </w:t>
      </w:r>
      <w:proofErr w:type="spellStart"/>
      <w:r>
        <w:rPr>
          <w:rFonts w:cs="Calibri"/>
          <w:color w:val="000000"/>
          <w:sz w:val="23"/>
          <w:szCs w:val="23"/>
        </w:rPr>
        <w:t>chlorateur</w:t>
      </w:r>
      <w:proofErr w:type="spellEnd"/>
      <w:r>
        <w:rPr>
          <w:rFonts w:cs="Calibri"/>
          <w:color w:val="000000"/>
          <w:sz w:val="23"/>
          <w:szCs w:val="23"/>
        </w:rPr>
        <w:t xml:space="preserve"> si eau brute claire (type </w:t>
      </w:r>
      <w:proofErr w:type="spellStart"/>
      <w:r>
        <w:rPr>
          <w:rFonts w:cs="Calibri"/>
          <w:color w:val="000000"/>
          <w:sz w:val="23"/>
          <w:szCs w:val="23"/>
        </w:rPr>
        <w:t>Aquatab</w:t>
      </w:r>
      <w:proofErr w:type="spellEnd"/>
      <w:r>
        <w:rPr>
          <w:rFonts w:cs="Calibri"/>
          <w:color w:val="000000"/>
          <w:sz w:val="23"/>
          <w:szCs w:val="23"/>
        </w:rPr>
        <w:t xml:space="preserve">), agent coagulant-floculant et </w:t>
      </w:r>
      <w:proofErr w:type="spellStart"/>
      <w:r>
        <w:rPr>
          <w:rFonts w:cs="Calibri"/>
          <w:color w:val="000000"/>
          <w:sz w:val="23"/>
          <w:szCs w:val="23"/>
        </w:rPr>
        <w:t>chlorateur</w:t>
      </w:r>
      <w:proofErr w:type="spellEnd"/>
      <w:r>
        <w:rPr>
          <w:rFonts w:cs="Calibri"/>
          <w:color w:val="000000"/>
          <w:sz w:val="23"/>
          <w:szCs w:val="23"/>
        </w:rPr>
        <w:t xml:space="preserve"> si eau brute turbide (type PUR)</w:t>
      </w:r>
      <w:r w:rsidR="00AD474F">
        <w:rPr>
          <w:rFonts w:cs="Calibri"/>
          <w:color w:val="000000"/>
          <w:sz w:val="23"/>
          <w:szCs w:val="23"/>
        </w:rPr>
        <w:t>. Une directive sur l’utilisation et le dosage des différents produits devra être établie entre le cluster WASH, la DNS/DHPS et le cluster Santé.</w:t>
      </w:r>
      <w:r>
        <w:rPr>
          <w:rFonts w:cs="Calibri"/>
          <w:color w:val="000000"/>
          <w:sz w:val="23"/>
          <w:szCs w:val="23"/>
        </w:rPr>
        <w:t xml:space="preserve"> </w:t>
      </w:r>
    </w:p>
    <w:p w:rsidR="005B4C32" w:rsidRDefault="00F42C1D" w:rsidP="00794F9C">
      <w:pPr>
        <w:pStyle w:val="ListParagraph"/>
        <w:numPr>
          <w:ilvl w:val="0"/>
          <w:numId w:val="4"/>
        </w:numPr>
        <w:autoSpaceDE w:val="0"/>
        <w:autoSpaceDN w:val="0"/>
        <w:adjustRightInd w:val="0"/>
        <w:spacing w:after="0" w:line="240" w:lineRule="auto"/>
        <w:ind w:left="426" w:hanging="426"/>
        <w:jc w:val="both"/>
        <w:rPr>
          <w:rFonts w:cs="Calibri"/>
          <w:color w:val="000000"/>
          <w:sz w:val="23"/>
          <w:szCs w:val="23"/>
        </w:rPr>
      </w:pPr>
      <w:r>
        <w:rPr>
          <w:rFonts w:cs="Calibri"/>
          <w:color w:val="000000"/>
          <w:sz w:val="23"/>
          <w:szCs w:val="23"/>
        </w:rPr>
        <w:t>A la mis</w:t>
      </w:r>
      <w:r w:rsidR="00AD474F">
        <w:rPr>
          <w:rFonts w:cs="Calibri"/>
          <w:color w:val="000000"/>
          <w:sz w:val="23"/>
          <w:szCs w:val="23"/>
        </w:rPr>
        <w:t xml:space="preserve">e en service d’un point d’eau, </w:t>
      </w:r>
      <w:proofErr w:type="gramStart"/>
      <w:r w:rsidR="00AD474F">
        <w:rPr>
          <w:rFonts w:cs="Calibri"/>
          <w:color w:val="000000"/>
          <w:sz w:val="23"/>
          <w:szCs w:val="23"/>
        </w:rPr>
        <w:t>a</w:t>
      </w:r>
      <w:proofErr w:type="gramEnd"/>
      <w:r>
        <w:rPr>
          <w:rFonts w:cs="Calibri"/>
          <w:color w:val="000000"/>
          <w:sz w:val="23"/>
          <w:szCs w:val="23"/>
        </w:rPr>
        <w:t xml:space="preserve"> minima un test bactériologique doit être réalisé (mesure de </w:t>
      </w:r>
      <w:proofErr w:type="spellStart"/>
      <w:r>
        <w:rPr>
          <w:rFonts w:cs="Calibri"/>
          <w:color w:val="000000"/>
          <w:sz w:val="23"/>
          <w:szCs w:val="23"/>
        </w:rPr>
        <w:t>E.Coli</w:t>
      </w:r>
      <w:proofErr w:type="spellEnd"/>
      <w:r>
        <w:rPr>
          <w:rFonts w:cs="Calibri"/>
          <w:color w:val="000000"/>
          <w:sz w:val="23"/>
          <w:szCs w:val="23"/>
        </w:rPr>
        <w:t xml:space="preserve">). En fonction du contexte et de l’accessibilité de la zone, des tests bactériologiques et chimiques complets sont recommandés pour certifier la qualité de l’eau distribuée. La qualité </w:t>
      </w:r>
      <w:r w:rsidR="00AD474F">
        <w:rPr>
          <w:rFonts w:cs="Calibri"/>
          <w:color w:val="000000"/>
          <w:sz w:val="23"/>
          <w:szCs w:val="23"/>
        </w:rPr>
        <w:t xml:space="preserve">de l’eau à domicile est suivie </w:t>
      </w:r>
      <w:proofErr w:type="gramStart"/>
      <w:r w:rsidR="00AD474F">
        <w:rPr>
          <w:rFonts w:cs="Calibri"/>
          <w:color w:val="000000"/>
          <w:sz w:val="23"/>
          <w:szCs w:val="23"/>
        </w:rPr>
        <w:t>a</w:t>
      </w:r>
      <w:proofErr w:type="gramEnd"/>
      <w:r>
        <w:rPr>
          <w:rFonts w:cs="Calibri"/>
          <w:color w:val="000000"/>
          <w:sz w:val="23"/>
          <w:szCs w:val="23"/>
        </w:rPr>
        <w:t xml:space="preserve"> minima par la mesure du chlore résiduel libre. </w:t>
      </w:r>
    </w:p>
    <w:p w:rsidR="001E2D91" w:rsidRDefault="001E2D91" w:rsidP="00794F9C">
      <w:pPr>
        <w:pStyle w:val="ListParagraph"/>
        <w:numPr>
          <w:ilvl w:val="0"/>
          <w:numId w:val="4"/>
        </w:numPr>
        <w:autoSpaceDE w:val="0"/>
        <w:autoSpaceDN w:val="0"/>
        <w:adjustRightInd w:val="0"/>
        <w:spacing w:after="0" w:line="240" w:lineRule="auto"/>
        <w:ind w:left="426" w:hanging="426"/>
        <w:jc w:val="both"/>
        <w:rPr>
          <w:rFonts w:cs="Calibri"/>
          <w:color w:val="000000"/>
          <w:sz w:val="23"/>
          <w:szCs w:val="23"/>
        </w:rPr>
      </w:pPr>
      <w:r>
        <w:rPr>
          <w:rFonts w:cs="Calibri"/>
          <w:color w:val="000000"/>
          <w:sz w:val="23"/>
          <w:szCs w:val="23"/>
        </w:rPr>
        <w:t>En cas d’épidémie de choléra, les efforts prioritaires seront axés sur la fourniture d’une quantité d’eau suffisan</w:t>
      </w:r>
      <w:r w:rsidR="009710CC">
        <w:rPr>
          <w:rFonts w:cs="Calibri"/>
          <w:color w:val="000000"/>
          <w:sz w:val="23"/>
          <w:szCs w:val="23"/>
        </w:rPr>
        <w:t>te</w:t>
      </w:r>
      <w:r>
        <w:rPr>
          <w:rFonts w:cs="Calibri"/>
          <w:color w:val="000000"/>
          <w:sz w:val="23"/>
          <w:szCs w:val="23"/>
        </w:rPr>
        <w:t xml:space="preserve"> de qualité. </w:t>
      </w:r>
    </w:p>
    <w:p w:rsidR="00584D19" w:rsidRPr="00AE1386" w:rsidRDefault="00584D19" w:rsidP="00584D19">
      <w:pPr>
        <w:pStyle w:val="ListParagraph"/>
        <w:autoSpaceDE w:val="0"/>
        <w:autoSpaceDN w:val="0"/>
        <w:adjustRightInd w:val="0"/>
        <w:spacing w:after="0" w:line="240" w:lineRule="auto"/>
        <w:ind w:left="426" w:firstLine="0"/>
        <w:jc w:val="both"/>
        <w:rPr>
          <w:rFonts w:cs="Calibri"/>
          <w:color w:val="000000"/>
          <w:sz w:val="23"/>
          <w:szCs w:val="23"/>
        </w:rPr>
      </w:pPr>
    </w:p>
    <w:p w:rsidR="00CF341A" w:rsidRDefault="0045434E" w:rsidP="00794F9C">
      <w:pPr>
        <w:pStyle w:val="ListParagraph"/>
        <w:numPr>
          <w:ilvl w:val="1"/>
          <w:numId w:val="1"/>
        </w:numPr>
        <w:rPr>
          <w:sz w:val="32"/>
        </w:rPr>
      </w:pPr>
      <w:r>
        <w:rPr>
          <w:sz w:val="32"/>
        </w:rPr>
        <w:t>Gestion des excréta</w:t>
      </w:r>
      <w:r w:rsidR="005B4C32">
        <w:rPr>
          <w:sz w:val="32"/>
        </w:rPr>
        <w:t xml:space="preserve"> </w:t>
      </w:r>
    </w:p>
    <w:p w:rsidR="005B4C32" w:rsidRPr="005B7F7A" w:rsidRDefault="005B4C32" w:rsidP="005B4C32">
      <w:pPr>
        <w:rPr>
          <w:b/>
        </w:rPr>
      </w:pPr>
      <w:r w:rsidRPr="005B7F7A">
        <w:rPr>
          <w:b/>
        </w:rPr>
        <w:t>Orientation stratégique</w:t>
      </w:r>
    </w:p>
    <w:p w:rsidR="005B4C32" w:rsidRDefault="00AB4AD0" w:rsidP="00584D19">
      <w:pPr>
        <w:ind w:left="0" w:firstLine="0"/>
        <w:jc w:val="both"/>
      </w:pPr>
      <w:r>
        <w:t>L’</w:t>
      </w:r>
      <w:r w:rsidR="00F1329A">
        <w:t xml:space="preserve">accès aux infrastructures d’assainissement </w:t>
      </w:r>
      <w:r w:rsidR="00723AE8">
        <w:t>adapté</w:t>
      </w:r>
      <w:r w:rsidR="00220B88">
        <w:t>es</w:t>
      </w:r>
      <w:r w:rsidR="00723AE8">
        <w:t xml:space="preserve"> en fonction des besoins spécifiques </w:t>
      </w:r>
      <w:r>
        <w:t>est amélioré</w:t>
      </w:r>
      <w:r w:rsidR="00723AE8">
        <w:t>,</w:t>
      </w:r>
      <w:r>
        <w:t xml:space="preserve"> par ordre de priorité dans les contextes suivants : </w:t>
      </w:r>
    </w:p>
    <w:p w:rsidR="00AB4AD0" w:rsidRDefault="00AB4AD0" w:rsidP="00794F9C">
      <w:pPr>
        <w:pStyle w:val="ListParagraph"/>
        <w:numPr>
          <w:ilvl w:val="0"/>
          <w:numId w:val="5"/>
        </w:numPr>
        <w:ind w:left="1276" w:hanging="426"/>
        <w:jc w:val="both"/>
      </w:pPr>
      <w:r>
        <w:t>Zone</w:t>
      </w:r>
      <w:r w:rsidR="008A1004">
        <w:t>s</w:t>
      </w:r>
      <w:r>
        <w:t xml:space="preserve"> à forte </w:t>
      </w:r>
      <w:r w:rsidR="00D51448">
        <w:t>concentration</w:t>
      </w:r>
      <w:r>
        <w:t xml:space="preserve"> de population avec peu</w:t>
      </w:r>
      <w:r w:rsidR="00584D19">
        <w:t>/pas</w:t>
      </w:r>
      <w:r>
        <w:t xml:space="preserve"> d’assainissement</w:t>
      </w:r>
      <w:r w:rsidR="00997621">
        <w:t xml:space="preserve"> existant</w:t>
      </w:r>
      <w:r>
        <w:t>, présentant donc un risque sanitaire avéré</w:t>
      </w:r>
      <w:r w:rsidR="00584D19">
        <w:t> ;</w:t>
      </w:r>
    </w:p>
    <w:p w:rsidR="008A1004" w:rsidRDefault="008A1004" w:rsidP="00794F9C">
      <w:pPr>
        <w:pStyle w:val="ListParagraph"/>
        <w:numPr>
          <w:ilvl w:val="0"/>
          <w:numId w:val="5"/>
        </w:numPr>
        <w:ind w:left="1276" w:hanging="426"/>
        <w:jc w:val="both"/>
      </w:pPr>
      <w:r>
        <w:t>Centres de santé et écoles</w:t>
      </w:r>
      <w:r w:rsidR="00584D19">
        <w:t> ;</w:t>
      </w:r>
    </w:p>
    <w:p w:rsidR="007C36F1" w:rsidRDefault="007C36F1" w:rsidP="00794F9C">
      <w:pPr>
        <w:pStyle w:val="ListParagraph"/>
        <w:numPr>
          <w:ilvl w:val="0"/>
          <w:numId w:val="5"/>
        </w:numPr>
        <w:ind w:left="1276" w:hanging="426"/>
        <w:jc w:val="both"/>
      </w:pPr>
      <w:r>
        <w:t>Dans les ménages hôtes accueillant des personnes déplacées</w:t>
      </w:r>
      <w:r w:rsidR="00584D19">
        <w:t> ;</w:t>
      </w:r>
    </w:p>
    <w:p w:rsidR="007C36F1" w:rsidRDefault="007C36F1" w:rsidP="00794F9C">
      <w:pPr>
        <w:pStyle w:val="ListParagraph"/>
        <w:numPr>
          <w:ilvl w:val="0"/>
          <w:numId w:val="5"/>
        </w:numPr>
        <w:ind w:left="1276" w:hanging="426"/>
        <w:jc w:val="both"/>
      </w:pPr>
      <w:r>
        <w:t>Dans les ménages ayant au moins un enfant malnutri aigue sévère</w:t>
      </w:r>
      <w:r w:rsidR="00584D19">
        <w:t> ;</w:t>
      </w:r>
    </w:p>
    <w:p w:rsidR="008A1004" w:rsidRDefault="008A1004" w:rsidP="00794F9C">
      <w:pPr>
        <w:pStyle w:val="ListParagraph"/>
        <w:numPr>
          <w:ilvl w:val="0"/>
          <w:numId w:val="5"/>
        </w:numPr>
        <w:ind w:left="1276" w:hanging="426"/>
        <w:jc w:val="both"/>
      </w:pPr>
      <w:r>
        <w:t>Zones à forte concentration de population dans des zones inondables</w:t>
      </w:r>
      <w:r w:rsidR="00584D19">
        <w:t> ;</w:t>
      </w:r>
    </w:p>
    <w:p w:rsidR="006C195B" w:rsidRDefault="006C195B" w:rsidP="00794F9C">
      <w:pPr>
        <w:pStyle w:val="ListParagraph"/>
        <w:numPr>
          <w:ilvl w:val="0"/>
          <w:numId w:val="5"/>
        </w:numPr>
        <w:ind w:left="1276" w:hanging="426"/>
        <w:jc w:val="both"/>
      </w:pPr>
      <w:r>
        <w:t>Zones à fort risque de choléra</w:t>
      </w:r>
      <w:r w:rsidR="00584D19">
        <w:t>.</w:t>
      </w:r>
    </w:p>
    <w:p w:rsidR="00B73F05" w:rsidRDefault="00B73F05" w:rsidP="00584D19">
      <w:pPr>
        <w:ind w:left="0" w:firstLine="0"/>
        <w:jc w:val="both"/>
      </w:pPr>
      <w:r>
        <w:t>Les actions prioritaire</w:t>
      </w:r>
      <w:r w:rsidR="00584D19">
        <w:t>s</w:t>
      </w:r>
      <w:r>
        <w:t xml:space="preserve"> d’amélioration de l’assainissement doivent être ciblées sur les zones et/ou personnes affectées par les crises, et ne doivent pas répondre uniquement à une problématique d’ordre structurelle. </w:t>
      </w:r>
    </w:p>
    <w:p w:rsidR="005B4C32" w:rsidRPr="005B7F7A" w:rsidRDefault="005B4C32" w:rsidP="005B4C32">
      <w:pPr>
        <w:rPr>
          <w:b/>
        </w:rPr>
      </w:pPr>
      <w:r w:rsidRPr="005B7F7A">
        <w:rPr>
          <w:b/>
        </w:rPr>
        <w:t>Objectif</w:t>
      </w:r>
      <w:r w:rsidR="006C195B">
        <w:rPr>
          <w:b/>
        </w:rPr>
        <w:t>s</w:t>
      </w:r>
    </w:p>
    <w:p w:rsidR="005B4C32" w:rsidRDefault="006C195B" w:rsidP="00794F9C">
      <w:pPr>
        <w:pStyle w:val="ListParagraph"/>
        <w:numPr>
          <w:ilvl w:val="0"/>
          <w:numId w:val="6"/>
        </w:numPr>
        <w:ind w:left="426" w:hanging="426"/>
        <w:jc w:val="both"/>
      </w:pPr>
      <w:r>
        <w:t>Les personnes vulnérables affectées par les crises habitant dans un environnement présentant un risque sanitaire avéré ont accès à des infrastructures d’assainissement réhabilités/construites adaptées à leurs besoins spécifiques (prise en compte du genre et de la mobilité notamment).</w:t>
      </w:r>
    </w:p>
    <w:p w:rsidR="006C195B" w:rsidRDefault="006C195B" w:rsidP="00794F9C">
      <w:pPr>
        <w:pStyle w:val="ListParagraph"/>
        <w:numPr>
          <w:ilvl w:val="0"/>
          <w:numId w:val="6"/>
        </w:numPr>
        <w:ind w:left="426" w:hanging="426"/>
        <w:jc w:val="both"/>
      </w:pPr>
      <w:r>
        <w:lastRenderedPageBreak/>
        <w:t>Les centres de santé</w:t>
      </w:r>
      <w:r w:rsidR="00584D19">
        <w:t>, de prise en charge nutritionnelle</w:t>
      </w:r>
      <w:r>
        <w:t xml:space="preserve"> et les écoles disposent d’infrastructures d’assainissement selon les standards internationaux minimum.  </w:t>
      </w:r>
    </w:p>
    <w:p w:rsidR="004E1BCA" w:rsidRPr="004E1BCA" w:rsidRDefault="005B4C32" w:rsidP="004E1BCA">
      <w:pPr>
        <w:rPr>
          <w:b/>
        </w:rPr>
      </w:pPr>
      <w:r w:rsidRPr="005B7F7A">
        <w:rPr>
          <w:b/>
        </w:rPr>
        <w:t xml:space="preserve">Indicateurs </w:t>
      </w:r>
    </w:p>
    <w:p w:rsidR="004E1BCA" w:rsidRPr="004E1BCA" w:rsidRDefault="004E1BCA" w:rsidP="00794F9C">
      <w:pPr>
        <w:pStyle w:val="ListParagraph"/>
        <w:numPr>
          <w:ilvl w:val="0"/>
          <w:numId w:val="3"/>
        </w:numPr>
        <w:spacing w:after="0" w:line="240" w:lineRule="auto"/>
        <w:ind w:left="162" w:hanging="162"/>
        <w:jc w:val="both"/>
        <w:rPr>
          <w:lang w:val="fr-CH"/>
        </w:rPr>
      </w:pPr>
      <w:r w:rsidRPr="004E1BCA">
        <w:rPr>
          <w:lang w:val="fr-CH"/>
        </w:rPr>
        <w:t xml:space="preserve">Nombre </w:t>
      </w:r>
      <w:r>
        <w:rPr>
          <w:lang w:val="fr-CH"/>
        </w:rPr>
        <w:t>et % de personnes bénéficiant d’</w:t>
      </w:r>
      <w:r w:rsidRPr="004E1BCA">
        <w:rPr>
          <w:lang w:val="fr-CH"/>
        </w:rPr>
        <w:t>infrastructure</w:t>
      </w:r>
      <w:r>
        <w:rPr>
          <w:lang w:val="fr-CH"/>
        </w:rPr>
        <w:t>s sanitaires à raison de 20pers</w:t>
      </w:r>
      <w:r w:rsidRPr="004E1BCA">
        <w:rPr>
          <w:lang w:val="fr-CH"/>
        </w:rPr>
        <w:t>/cabine séparée par</w:t>
      </w:r>
      <w:r>
        <w:rPr>
          <w:lang w:val="fr-CH"/>
        </w:rPr>
        <w:t xml:space="preserve"> sexe et en prenant en compte l’</w:t>
      </w:r>
      <w:r w:rsidRPr="004E1BCA">
        <w:rPr>
          <w:lang w:val="fr-CH"/>
        </w:rPr>
        <w:t xml:space="preserve">accessibilité pour les enfants, les besoins spécifiques des hommes et des femmes, avec un système de maintenance communautaire, dans les camps de regroupement. </w:t>
      </w:r>
    </w:p>
    <w:p w:rsidR="00FC70FF" w:rsidRDefault="00FC70FF" w:rsidP="00794F9C">
      <w:pPr>
        <w:pStyle w:val="ListParagraph"/>
        <w:numPr>
          <w:ilvl w:val="0"/>
          <w:numId w:val="3"/>
        </w:numPr>
        <w:spacing w:after="0" w:line="240" w:lineRule="auto"/>
        <w:ind w:left="162" w:hanging="162"/>
        <w:jc w:val="both"/>
        <w:rPr>
          <w:lang w:val="fr-CH"/>
        </w:rPr>
      </w:pPr>
      <w:r>
        <w:rPr>
          <w:lang w:val="fr-CH"/>
        </w:rPr>
        <w:t>Nombre de personne par latrine en usage</w:t>
      </w:r>
      <w:r w:rsidR="00584D19">
        <w:rPr>
          <w:lang w:val="fr-CH"/>
        </w:rPr>
        <w:t> ;</w:t>
      </w:r>
    </w:p>
    <w:p w:rsidR="00A0205E" w:rsidRPr="00FC4690" w:rsidRDefault="00A0205E" w:rsidP="00794F9C">
      <w:pPr>
        <w:pStyle w:val="ListParagraph"/>
        <w:numPr>
          <w:ilvl w:val="0"/>
          <w:numId w:val="3"/>
        </w:numPr>
        <w:spacing w:after="0" w:line="240" w:lineRule="auto"/>
        <w:ind w:left="162" w:hanging="162"/>
        <w:jc w:val="both"/>
        <w:rPr>
          <w:lang w:val="fr-CH"/>
        </w:rPr>
      </w:pPr>
      <w:r w:rsidRPr="00FC4690">
        <w:rPr>
          <w:lang w:val="fr-CH"/>
        </w:rPr>
        <w:t>Nombre</w:t>
      </w:r>
      <w:r>
        <w:rPr>
          <w:lang w:val="fr-CH"/>
        </w:rPr>
        <w:t xml:space="preserve"> et % </w:t>
      </w:r>
      <w:r w:rsidRPr="00FC4690">
        <w:rPr>
          <w:lang w:val="fr-CH"/>
        </w:rPr>
        <w:t>de</w:t>
      </w:r>
      <w:r>
        <w:rPr>
          <w:lang w:val="fr-CH"/>
        </w:rPr>
        <w:t xml:space="preserve"> </w:t>
      </w:r>
      <w:r w:rsidRPr="00FC4690">
        <w:rPr>
          <w:lang w:val="fr-CH"/>
        </w:rPr>
        <w:t>centres</w:t>
      </w:r>
      <w:r>
        <w:rPr>
          <w:lang w:val="fr-CH"/>
        </w:rPr>
        <w:t xml:space="preserve"> </w:t>
      </w:r>
      <w:r w:rsidRPr="00FC4690">
        <w:rPr>
          <w:lang w:val="fr-CH"/>
        </w:rPr>
        <w:t>de</w:t>
      </w:r>
      <w:r>
        <w:rPr>
          <w:lang w:val="fr-CH"/>
        </w:rPr>
        <w:t xml:space="preserve"> </w:t>
      </w:r>
      <w:r w:rsidRPr="00FC4690">
        <w:rPr>
          <w:lang w:val="fr-CH"/>
        </w:rPr>
        <w:t>santé</w:t>
      </w:r>
      <w:r w:rsidR="00584D19">
        <w:rPr>
          <w:lang w:val="fr-CH"/>
        </w:rPr>
        <w:t>, de centres de prise en charge nutritionnelle</w:t>
      </w:r>
      <w:r>
        <w:rPr>
          <w:lang w:val="fr-CH"/>
        </w:rPr>
        <w:t xml:space="preserve"> et d’écoles </w:t>
      </w:r>
      <w:r w:rsidRPr="00FC4690">
        <w:rPr>
          <w:lang w:val="fr-CH"/>
        </w:rPr>
        <w:t>fonctionnels</w:t>
      </w:r>
      <w:r>
        <w:rPr>
          <w:lang w:val="fr-CH"/>
        </w:rPr>
        <w:t xml:space="preserve"> </w:t>
      </w:r>
      <w:r w:rsidRPr="00FC4690">
        <w:rPr>
          <w:lang w:val="fr-CH"/>
        </w:rPr>
        <w:t>bénéficiant</w:t>
      </w:r>
      <w:r>
        <w:rPr>
          <w:lang w:val="fr-CH"/>
        </w:rPr>
        <w:t xml:space="preserve"> </w:t>
      </w:r>
      <w:r w:rsidRPr="00FC4690">
        <w:rPr>
          <w:lang w:val="fr-CH"/>
        </w:rPr>
        <w:t>d’un</w:t>
      </w:r>
      <w:r>
        <w:rPr>
          <w:lang w:val="fr-CH"/>
        </w:rPr>
        <w:t xml:space="preserve"> </w:t>
      </w:r>
      <w:r w:rsidRPr="00FC4690">
        <w:rPr>
          <w:lang w:val="fr-CH"/>
        </w:rPr>
        <w:t>accès</w:t>
      </w:r>
      <w:r>
        <w:rPr>
          <w:lang w:val="fr-CH"/>
        </w:rPr>
        <w:t xml:space="preserve"> </w:t>
      </w:r>
      <w:r w:rsidRPr="00FC4690">
        <w:rPr>
          <w:lang w:val="fr-CH"/>
        </w:rPr>
        <w:t>à</w:t>
      </w:r>
      <w:r>
        <w:rPr>
          <w:lang w:val="fr-CH"/>
        </w:rPr>
        <w:t xml:space="preserve"> l’assainissement selon les standards </w:t>
      </w:r>
      <w:r w:rsidR="00584D19">
        <w:rPr>
          <w:lang w:val="fr-CH"/>
        </w:rPr>
        <w:t>SPHERE</w:t>
      </w:r>
      <w:r w:rsidRPr="00FC4690">
        <w:rPr>
          <w:lang w:val="fr-CH"/>
        </w:rPr>
        <w:t>.</w:t>
      </w:r>
    </w:p>
    <w:p w:rsidR="005B4C32" w:rsidRPr="005B7F7A" w:rsidRDefault="005B4C32" w:rsidP="005B4C32">
      <w:pPr>
        <w:rPr>
          <w:b/>
        </w:rPr>
      </w:pPr>
      <w:r w:rsidRPr="005B7F7A">
        <w:rPr>
          <w:b/>
        </w:rPr>
        <w:t>Pratiques et principes opérationnels</w:t>
      </w:r>
    </w:p>
    <w:p w:rsidR="00C55586" w:rsidRDefault="00C55586" w:rsidP="00794F9C">
      <w:pPr>
        <w:pStyle w:val="ListParagraph"/>
        <w:numPr>
          <w:ilvl w:val="0"/>
          <w:numId w:val="7"/>
        </w:numPr>
        <w:autoSpaceDE w:val="0"/>
        <w:autoSpaceDN w:val="0"/>
        <w:adjustRightInd w:val="0"/>
        <w:spacing w:after="0" w:line="240" w:lineRule="auto"/>
        <w:ind w:left="426" w:hanging="426"/>
        <w:jc w:val="both"/>
        <w:rPr>
          <w:sz w:val="24"/>
          <w:szCs w:val="24"/>
        </w:rPr>
      </w:pPr>
      <w:r w:rsidRPr="00407B17">
        <w:rPr>
          <w:sz w:val="24"/>
          <w:szCs w:val="24"/>
        </w:rPr>
        <w:t xml:space="preserve">Le </w:t>
      </w:r>
      <w:r>
        <w:rPr>
          <w:sz w:val="24"/>
          <w:szCs w:val="24"/>
        </w:rPr>
        <w:t xml:space="preserve">ciblage des zones/ménages </w:t>
      </w:r>
      <w:r w:rsidRPr="00407B17">
        <w:rPr>
          <w:sz w:val="24"/>
          <w:szCs w:val="24"/>
        </w:rPr>
        <w:t>pour la conduit</w:t>
      </w:r>
      <w:r>
        <w:rPr>
          <w:sz w:val="24"/>
          <w:szCs w:val="24"/>
        </w:rPr>
        <w:t>e</w:t>
      </w:r>
      <w:r w:rsidRPr="00407B17">
        <w:rPr>
          <w:sz w:val="24"/>
          <w:szCs w:val="24"/>
        </w:rPr>
        <w:t xml:space="preserve"> d’activités d’assainissement </w:t>
      </w:r>
      <w:r>
        <w:rPr>
          <w:sz w:val="24"/>
          <w:szCs w:val="24"/>
        </w:rPr>
        <w:t>doit être basé sur une analyse de risques sanitaires</w:t>
      </w:r>
      <w:r w:rsidR="00584D19">
        <w:rPr>
          <w:sz w:val="24"/>
          <w:szCs w:val="24"/>
        </w:rPr>
        <w:t>.</w:t>
      </w:r>
    </w:p>
    <w:p w:rsidR="00C55586" w:rsidRDefault="00C55586" w:rsidP="00794F9C">
      <w:pPr>
        <w:pStyle w:val="ListParagraph"/>
        <w:numPr>
          <w:ilvl w:val="0"/>
          <w:numId w:val="7"/>
        </w:numPr>
        <w:autoSpaceDE w:val="0"/>
        <w:autoSpaceDN w:val="0"/>
        <w:adjustRightInd w:val="0"/>
        <w:spacing w:after="0" w:line="240" w:lineRule="auto"/>
        <w:ind w:left="426" w:hanging="426"/>
        <w:jc w:val="both"/>
        <w:rPr>
          <w:sz w:val="24"/>
          <w:szCs w:val="24"/>
        </w:rPr>
      </w:pPr>
      <w:r>
        <w:rPr>
          <w:sz w:val="24"/>
          <w:szCs w:val="24"/>
        </w:rPr>
        <w:t xml:space="preserve">Les zones d’intervention sont ciblées </w:t>
      </w:r>
      <w:r w:rsidR="00D8686C">
        <w:rPr>
          <w:sz w:val="24"/>
          <w:szCs w:val="24"/>
        </w:rPr>
        <w:t xml:space="preserve">par ordre de priorité </w:t>
      </w:r>
      <w:r>
        <w:rPr>
          <w:sz w:val="24"/>
          <w:szCs w:val="24"/>
        </w:rPr>
        <w:t>conforment</w:t>
      </w:r>
      <w:r w:rsidR="00D8686C">
        <w:rPr>
          <w:sz w:val="24"/>
          <w:szCs w:val="24"/>
        </w:rPr>
        <w:t xml:space="preserve"> aux</w:t>
      </w:r>
      <w:r>
        <w:rPr>
          <w:sz w:val="24"/>
          <w:szCs w:val="24"/>
        </w:rPr>
        <w:t xml:space="preserve"> orientations stratégiques</w:t>
      </w:r>
      <w:r w:rsidR="00584D19">
        <w:rPr>
          <w:sz w:val="24"/>
          <w:szCs w:val="24"/>
        </w:rPr>
        <w:t>.</w:t>
      </w:r>
    </w:p>
    <w:p w:rsidR="007F5E2E" w:rsidRDefault="007F5E2E" w:rsidP="00794F9C">
      <w:pPr>
        <w:pStyle w:val="ListParagraph"/>
        <w:numPr>
          <w:ilvl w:val="0"/>
          <w:numId w:val="7"/>
        </w:numPr>
        <w:autoSpaceDE w:val="0"/>
        <w:autoSpaceDN w:val="0"/>
        <w:adjustRightInd w:val="0"/>
        <w:spacing w:after="0" w:line="240" w:lineRule="auto"/>
        <w:ind w:left="426" w:hanging="426"/>
        <w:jc w:val="both"/>
        <w:rPr>
          <w:sz w:val="24"/>
          <w:szCs w:val="24"/>
        </w:rPr>
      </w:pPr>
      <w:r>
        <w:rPr>
          <w:sz w:val="24"/>
          <w:szCs w:val="24"/>
        </w:rPr>
        <w:t>Une approche visant une couverture totale de la zone ciblée est recommandée (but de zéro défécation à l’air libre)</w:t>
      </w:r>
      <w:r w:rsidR="00584D19">
        <w:rPr>
          <w:sz w:val="24"/>
          <w:szCs w:val="24"/>
        </w:rPr>
        <w:t>.</w:t>
      </w:r>
    </w:p>
    <w:p w:rsidR="00C55586" w:rsidRDefault="00C55586" w:rsidP="00794F9C">
      <w:pPr>
        <w:pStyle w:val="ListParagraph"/>
        <w:numPr>
          <w:ilvl w:val="0"/>
          <w:numId w:val="7"/>
        </w:numPr>
        <w:autoSpaceDE w:val="0"/>
        <w:autoSpaceDN w:val="0"/>
        <w:adjustRightInd w:val="0"/>
        <w:spacing w:after="0" w:line="240" w:lineRule="auto"/>
        <w:ind w:left="426" w:hanging="426"/>
        <w:jc w:val="both"/>
        <w:rPr>
          <w:sz w:val="24"/>
          <w:szCs w:val="24"/>
        </w:rPr>
      </w:pPr>
      <w:r>
        <w:rPr>
          <w:sz w:val="24"/>
          <w:szCs w:val="24"/>
        </w:rPr>
        <w:t xml:space="preserve">Le choix de la technologie d’assainissement utilisée </w:t>
      </w:r>
      <w:r w:rsidR="007F5E2E">
        <w:rPr>
          <w:sz w:val="24"/>
          <w:szCs w:val="24"/>
        </w:rPr>
        <w:t xml:space="preserve">et de sa conception </w:t>
      </w:r>
      <w:r>
        <w:rPr>
          <w:sz w:val="24"/>
          <w:szCs w:val="24"/>
        </w:rPr>
        <w:t>sera basé sur une étude à la fois des pratiques culturelles et de l’</w:t>
      </w:r>
      <w:r w:rsidR="007F5E2E">
        <w:rPr>
          <w:sz w:val="24"/>
          <w:szCs w:val="24"/>
        </w:rPr>
        <w:t>environnement</w:t>
      </w:r>
      <w:r w:rsidR="00584D19">
        <w:rPr>
          <w:sz w:val="24"/>
          <w:szCs w:val="24"/>
        </w:rPr>
        <w:t>.</w:t>
      </w:r>
    </w:p>
    <w:p w:rsidR="007F5E2E" w:rsidRPr="007F5E2E" w:rsidRDefault="00C55586" w:rsidP="00794F9C">
      <w:pPr>
        <w:pStyle w:val="ListParagraph"/>
        <w:numPr>
          <w:ilvl w:val="0"/>
          <w:numId w:val="7"/>
        </w:numPr>
        <w:autoSpaceDE w:val="0"/>
        <w:autoSpaceDN w:val="0"/>
        <w:adjustRightInd w:val="0"/>
        <w:spacing w:after="0" w:line="240" w:lineRule="auto"/>
        <w:ind w:left="426" w:hanging="426"/>
        <w:jc w:val="both"/>
        <w:rPr>
          <w:sz w:val="24"/>
          <w:szCs w:val="24"/>
        </w:rPr>
      </w:pPr>
      <w:r>
        <w:rPr>
          <w:sz w:val="24"/>
          <w:szCs w:val="24"/>
        </w:rPr>
        <w:t>Les technologies efficaces et à faible cout doivent être pri</w:t>
      </w:r>
      <w:r w:rsidR="00D8686C">
        <w:rPr>
          <w:sz w:val="24"/>
          <w:szCs w:val="24"/>
        </w:rPr>
        <w:t>vilégiées</w:t>
      </w:r>
      <w:r w:rsidR="00584D19">
        <w:rPr>
          <w:sz w:val="24"/>
          <w:szCs w:val="24"/>
        </w:rPr>
        <w:t>.</w:t>
      </w:r>
    </w:p>
    <w:p w:rsidR="00C55586" w:rsidRDefault="00C55586" w:rsidP="00794F9C">
      <w:pPr>
        <w:pStyle w:val="ListParagraph"/>
        <w:numPr>
          <w:ilvl w:val="0"/>
          <w:numId w:val="7"/>
        </w:numPr>
        <w:autoSpaceDE w:val="0"/>
        <w:autoSpaceDN w:val="0"/>
        <w:adjustRightInd w:val="0"/>
        <w:spacing w:after="0" w:line="240" w:lineRule="auto"/>
        <w:ind w:left="426" w:hanging="426"/>
        <w:jc w:val="both"/>
        <w:rPr>
          <w:sz w:val="24"/>
          <w:szCs w:val="24"/>
        </w:rPr>
      </w:pPr>
      <w:r w:rsidRPr="00C55586">
        <w:rPr>
          <w:sz w:val="24"/>
          <w:szCs w:val="24"/>
        </w:rPr>
        <w:t>Les technologies et matériaux respectant l’environnement doivent être privilégiés.</w:t>
      </w:r>
      <w:r>
        <w:rPr>
          <w:sz w:val="24"/>
          <w:szCs w:val="24"/>
        </w:rPr>
        <w:t xml:space="preserve"> Des alternatives à l’utilisation de briques en terre cuite, demandant beaucoup de bois pour leur construction, doivent être retenues dès que possible.</w:t>
      </w:r>
    </w:p>
    <w:p w:rsidR="00C55586" w:rsidRPr="00C55586" w:rsidRDefault="00C55586" w:rsidP="00794F9C">
      <w:pPr>
        <w:pStyle w:val="ListParagraph"/>
        <w:numPr>
          <w:ilvl w:val="0"/>
          <w:numId w:val="7"/>
        </w:numPr>
        <w:autoSpaceDE w:val="0"/>
        <w:autoSpaceDN w:val="0"/>
        <w:adjustRightInd w:val="0"/>
        <w:spacing w:after="0" w:line="240" w:lineRule="auto"/>
        <w:ind w:left="426" w:hanging="426"/>
        <w:jc w:val="both"/>
        <w:rPr>
          <w:sz w:val="24"/>
          <w:szCs w:val="24"/>
        </w:rPr>
      </w:pPr>
      <w:r w:rsidRPr="00D8686C">
        <w:rPr>
          <w:sz w:val="24"/>
          <w:szCs w:val="24"/>
        </w:rPr>
        <w:t xml:space="preserve">Les utilisateurs (en particulier les femmes) et les groupes vulnérables- personnes blessées, handicapées et les gens âgés- sont consultés sur la position (assise) et la conception des latrines. </w:t>
      </w:r>
    </w:p>
    <w:p w:rsidR="00C55586" w:rsidRPr="00407B17" w:rsidRDefault="00C55586" w:rsidP="00794F9C">
      <w:pPr>
        <w:pStyle w:val="ListParagraph"/>
        <w:numPr>
          <w:ilvl w:val="0"/>
          <w:numId w:val="7"/>
        </w:numPr>
        <w:autoSpaceDE w:val="0"/>
        <w:autoSpaceDN w:val="0"/>
        <w:adjustRightInd w:val="0"/>
        <w:spacing w:after="0" w:line="240" w:lineRule="auto"/>
        <w:ind w:left="426" w:hanging="426"/>
        <w:jc w:val="both"/>
        <w:rPr>
          <w:sz w:val="24"/>
          <w:szCs w:val="24"/>
        </w:rPr>
      </w:pPr>
      <w:r w:rsidRPr="00D8686C">
        <w:rPr>
          <w:sz w:val="24"/>
          <w:szCs w:val="24"/>
        </w:rPr>
        <w:t xml:space="preserve">Le choix de la dalle doit être fait en considérant les pratiques et coutumes d’avant. </w:t>
      </w:r>
    </w:p>
    <w:p w:rsidR="00C55586" w:rsidRPr="00407B17" w:rsidRDefault="00C55586" w:rsidP="00794F9C">
      <w:pPr>
        <w:pStyle w:val="ListParagraph"/>
        <w:numPr>
          <w:ilvl w:val="0"/>
          <w:numId w:val="7"/>
        </w:numPr>
        <w:autoSpaceDE w:val="0"/>
        <w:autoSpaceDN w:val="0"/>
        <w:adjustRightInd w:val="0"/>
        <w:spacing w:after="0" w:line="240" w:lineRule="auto"/>
        <w:ind w:left="426" w:hanging="426"/>
        <w:jc w:val="both"/>
        <w:rPr>
          <w:sz w:val="24"/>
          <w:szCs w:val="24"/>
        </w:rPr>
      </w:pPr>
      <w:r w:rsidRPr="00D8686C">
        <w:rPr>
          <w:sz w:val="24"/>
          <w:szCs w:val="24"/>
        </w:rPr>
        <w:t xml:space="preserve">Les toilettes publiques doivent être séparées et signalées par genre. </w:t>
      </w:r>
    </w:p>
    <w:p w:rsidR="00C55586" w:rsidRPr="00C55586" w:rsidRDefault="00C55586" w:rsidP="00794F9C">
      <w:pPr>
        <w:pStyle w:val="ListParagraph"/>
        <w:numPr>
          <w:ilvl w:val="0"/>
          <w:numId w:val="7"/>
        </w:numPr>
        <w:autoSpaceDE w:val="0"/>
        <w:autoSpaceDN w:val="0"/>
        <w:adjustRightInd w:val="0"/>
        <w:spacing w:after="0" w:line="240" w:lineRule="auto"/>
        <w:ind w:left="426" w:hanging="426"/>
        <w:jc w:val="both"/>
        <w:rPr>
          <w:sz w:val="24"/>
          <w:szCs w:val="24"/>
        </w:rPr>
      </w:pPr>
      <w:r w:rsidRPr="00D8686C">
        <w:rPr>
          <w:sz w:val="24"/>
          <w:szCs w:val="24"/>
        </w:rPr>
        <w:t xml:space="preserve">Les latrines doivent être adaptées (rails, rampes, sièges) afin de permettre un accès sécurisé et assurant la confidentialité conformément à l’âge, le genre et le handicap. </w:t>
      </w:r>
    </w:p>
    <w:p w:rsidR="00C55586" w:rsidRPr="00C55586" w:rsidRDefault="00C55586" w:rsidP="00794F9C">
      <w:pPr>
        <w:pStyle w:val="ListParagraph"/>
        <w:numPr>
          <w:ilvl w:val="0"/>
          <w:numId w:val="7"/>
        </w:numPr>
        <w:autoSpaceDE w:val="0"/>
        <w:autoSpaceDN w:val="0"/>
        <w:adjustRightInd w:val="0"/>
        <w:spacing w:after="0" w:line="240" w:lineRule="auto"/>
        <w:ind w:left="426" w:hanging="426"/>
        <w:jc w:val="both"/>
        <w:rPr>
          <w:sz w:val="24"/>
          <w:szCs w:val="24"/>
        </w:rPr>
      </w:pPr>
      <w:r w:rsidRPr="00D8686C">
        <w:rPr>
          <w:sz w:val="24"/>
          <w:szCs w:val="24"/>
        </w:rPr>
        <w:t xml:space="preserve">Le stockage d'excréments, leur traitement et leur élimination doivent être situé, en aval et à 30 m, au moins, de n'importe quelle source d’eau souterraine et les fonds des fosses doivent être à au moins 1.5m au-dessus de la nappe phréatique. </w:t>
      </w:r>
    </w:p>
    <w:p w:rsidR="00C55586" w:rsidRDefault="00C55586" w:rsidP="00794F9C">
      <w:pPr>
        <w:pStyle w:val="ListParagraph"/>
        <w:numPr>
          <w:ilvl w:val="0"/>
          <w:numId w:val="7"/>
        </w:numPr>
        <w:autoSpaceDE w:val="0"/>
        <w:autoSpaceDN w:val="0"/>
        <w:adjustRightInd w:val="0"/>
        <w:spacing w:after="0" w:line="240" w:lineRule="auto"/>
        <w:ind w:left="426" w:hanging="426"/>
        <w:jc w:val="both"/>
        <w:rPr>
          <w:sz w:val="24"/>
          <w:szCs w:val="24"/>
        </w:rPr>
      </w:pPr>
      <w:r w:rsidRPr="00D8686C">
        <w:rPr>
          <w:sz w:val="24"/>
          <w:szCs w:val="24"/>
        </w:rPr>
        <w:t xml:space="preserve">Les toilettes sont conçues pour minimiser la reproduction de moustiques/mouches (couvercles / grilles de ventilation). </w:t>
      </w:r>
    </w:p>
    <w:p w:rsidR="00D8686C" w:rsidRDefault="00D8686C" w:rsidP="00794F9C">
      <w:pPr>
        <w:pStyle w:val="ListParagraph"/>
        <w:numPr>
          <w:ilvl w:val="0"/>
          <w:numId w:val="7"/>
        </w:numPr>
        <w:autoSpaceDE w:val="0"/>
        <w:autoSpaceDN w:val="0"/>
        <w:adjustRightInd w:val="0"/>
        <w:spacing w:after="0" w:line="240" w:lineRule="auto"/>
        <w:ind w:left="426" w:hanging="426"/>
        <w:jc w:val="both"/>
        <w:rPr>
          <w:sz w:val="24"/>
          <w:szCs w:val="24"/>
        </w:rPr>
      </w:pPr>
      <w:r>
        <w:rPr>
          <w:sz w:val="24"/>
          <w:szCs w:val="24"/>
        </w:rPr>
        <w:t>L’approche parti</w:t>
      </w:r>
      <w:r w:rsidR="007F5E2E">
        <w:rPr>
          <w:sz w:val="24"/>
          <w:szCs w:val="24"/>
        </w:rPr>
        <w:t>ci</w:t>
      </w:r>
      <w:r>
        <w:rPr>
          <w:sz w:val="24"/>
          <w:szCs w:val="24"/>
        </w:rPr>
        <w:t xml:space="preserve">pative et l’implication des bénéficiaires dans </w:t>
      </w:r>
      <w:r w:rsidR="007F5E2E">
        <w:rPr>
          <w:sz w:val="24"/>
          <w:szCs w:val="24"/>
        </w:rPr>
        <w:t>tout projet</w:t>
      </w:r>
      <w:r>
        <w:rPr>
          <w:sz w:val="24"/>
          <w:szCs w:val="24"/>
        </w:rPr>
        <w:t xml:space="preserve"> d’amélioration de l’assainissement </w:t>
      </w:r>
      <w:r w:rsidR="007F5E2E">
        <w:rPr>
          <w:sz w:val="24"/>
          <w:szCs w:val="24"/>
        </w:rPr>
        <w:t>sont</w:t>
      </w:r>
      <w:r>
        <w:rPr>
          <w:sz w:val="24"/>
          <w:szCs w:val="24"/>
        </w:rPr>
        <w:t xml:space="preserve"> fortement souhaité</w:t>
      </w:r>
      <w:r w:rsidR="007F5E2E">
        <w:rPr>
          <w:sz w:val="24"/>
          <w:szCs w:val="24"/>
        </w:rPr>
        <w:t>s pour une bonne appropriation des ouvrages</w:t>
      </w:r>
      <w:r w:rsidR="00584D19">
        <w:rPr>
          <w:sz w:val="24"/>
          <w:szCs w:val="24"/>
        </w:rPr>
        <w:t>.</w:t>
      </w:r>
    </w:p>
    <w:p w:rsidR="007F5E2E" w:rsidRDefault="007F5E2E" w:rsidP="00794F9C">
      <w:pPr>
        <w:pStyle w:val="ListParagraph"/>
        <w:numPr>
          <w:ilvl w:val="0"/>
          <w:numId w:val="7"/>
        </w:numPr>
        <w:autoSpaceDE w:val="0"/>
        <w:autoSpaceDN w:val="0"/>
        <w:adjustRightInd w:val="0"/>
        <w:spacing w:after="0" w:line="240" w:lineRule="auto"/>
        <w:ind w:left="426" w:hanging="426"/>
        <w:jc w:val="both"/>
        <w:rPr>
          <w:sz w:val="24"/>
          <w:szCs w:val="24"/>
        </w:rPr>
      </w:pPr>
      <w:r>
        <w:rPr>
          <w:sz w:val="24"/>
          <w:szCs w:val="24"/>
        </w:rPr>
        <w:t xml:space="preserve">La construction d’ouvrages d’assainissement public doit s’accompagner de la mise en place et formation/donation en équipements de structures de gestion. </w:t>
      </w:r>
    </w:p>
    <w:p w:rsidR="007F5E2E" w:rsidRDefault="007F5E2E" w:rsidP="00794F9C">
      <w:pPr>
        <w:pStyle w:val="ListParagraph"/>
        <w:numPr>
          <w:ilvl w:val="0"/>
          <w:numId w:val="7"/>
        </w:numPr>
        <w:autoSpaceDE w:val="0"/>
        <w:autoSpaceDN w:val="0"/>
        <w:adjustRightInd w:val="0"/>
        <w:spacing w:after="0" w:line="240" w:lineRule="auto"/>
        <w:ind w:left="426" w:hanging="426"/>
        <w:jc w:val="both"/>
        <w:rPr>
          <w:sz w:val="24"/>
          <w:szCs w:val="24"/>
        </w:rPr>
      </w:pPr>
      <w:r>
        <w:rPr>
          <w:sz w:val="24"/>
          <w:szCs w:val="24"/>
        </w:rPr>
        <w:t xml:space="preserve">La construction de latrine privée doit s’accompagner d’une formation à leur bon entretien et doit être complété par des activités IEC liées à l’hygiène. </w:t>
      </w:r>
    </w:p>
    <w:p w:rsidR="00584D19" w:rsidRPr="00C55586" w:rsidRDefault="00584D19" w:rsidP="00584D19">
      <w:pPr>
        <w:pStyle w:val="ListParagraph"/>
        <w:autoSpaceDE w:val="0"/>
        <w:autoSpaceDN w:val="0"/>
        <w:adjustRightInd w:val="0"/>
        <w:spacing w:after="0" w:line="240" w:lineRule="auto"/>
        <w:ind w:left="426" w:firstLine="0"/>
        <w:jc w:val="both"/>
        <w:rPr>
          <w:sz w:val="24"/>
          <w:szCs w:val="24"/>
        </w:rPr>
      </w:pPr>
    </w:p>
    <w:p w:rsidR="00CF341A" w:rsidRDefault="008931F4" w:rsidP="00794F9C">
      <w:pPr>
        <w:pStyle w:val="ListParagraph"/>
        <w:numPr>
          <w:ilvl w:val="1"/>
          <w:numId w:val="1"/>
        </w:numPr>
        <w:rPr>
          <w:sz w:val="32"/>
        </w:rPr>
      </w:pPr>
      <w:r>
        <w:rPr>
          <w:sz w:val="32"/>
        </w:rPr>
        <w:t>Promotion de l’hygiène</w:t>
      </w:r>
      <w:r w:rsidR="005B4C32">
        <w:rPr>
          <w:sz w:val="32"/>
        </w:rPr>
        <w:t xml:space="preserve">/promotion de la santé </w:t>
      </w:r>
    </w:p>
    <w:p w:rsidR="005B4C32" w:rsidRPr="00854FC7" w:rsidRDefault="005B4C32" w:rsidP="005B4C32">
      <w:pPr>
        <w:rPr>
          <w:b/>
        </w:rPr>
      </w:pPr>
      <w:r w:rsidRPr="00854FC7">
        <w:rPr>
          <w:b/>
        </w:rPr>
        <w:lastRenderedPageBreak/>
        <w:t>Orientation stratégique</w:t>
      </w:r>
    </w:p>
    <w:p w:rsidR="005B4C32" w:rsidRDefault="00F72D3D" w:rsidP="00F72D3D">
      <w:pPr>
        <w:ind w:left="0" w:firstLine="0"/>
        <w:jc w:val="both"/>
      </w:pPr>
      <w:r>
        <w:rPr>
          <w:sz w:val="23"/>
          <w:szCs w:val="23"/>
        </w:rPr>
        <w:t>Contribuer à la réduction des risques de maladies liés à l’eau, l’hygiène et l’assainissement, en mettant en œuvre les activités appropriées devant mener à l’adoption de pratiques d’hygiène sures, à grande échelle.</w:t>
      </w:r>
    </w:p>
    <w:p w:rsidR="005B4C32" w:rsidRPr="00854FC7" w:rsidRDefault="005B4C32" w:rsidP="005B4C32">
      <w:pPr>
        <w:rPr>
          <w:b/>
        </w:rPr>
      </w:pPr>
      <w:r w:rsidRPr="00854FC7">
        <w:rPr>
          <w:b/>
        </w:rPr>
        <w:t>Objectif</w:t>
      </w:r>
    </w:p>
    <w:p w:rsidR="00F72D3D" w:rsidRDefault="00F72D3D" w:rsidP="00794F9C">
      <w:pPr>
        <w:pStyle w:val="ListParagraph"/>
        <w:numPr>
          <w:ilvl w:val="0"/>
          <w:numId w:val="18"/>
        </w:numPr>
        <w:ind w:left="426"/>
        <w:jc w:val="both"/>
      </w:pPr>
      <w:r>
        <w:t>Les hommes, femmes et enfants vulnérables affectées par les crises adoptent des pratiques d’hygiène permettant de prévenir les maladies et culturellement appropriées (prise en compte du genre et de la mobilité notamment).</w:t>
      </w:r>
    </w:p>
    <w:p w:rsidR="00F72D3D" w:rsidRDefault="00F72D3D" w:rsidP="00794F9C">
      <w:pPr>
        <w:pStyle w:val="ListParagraph"/>
        <w:numPr>
          <w:ilvl w:val="0"/>
          <w:numId w:val="18"/>
        </w:numPr>
        <w:ind w:left="426" w:hanging="426"/>
        <w:jc w:val="both"/>
      </w:pPr>
      <w:r>
        <w:t>Dans les centres de santé, de prise en charge nutritionnelle et les écoles, le personnel et les utilisateurs adoptent des pratiques d’hygiène appropriées réduisant l</w:t>
      </w:r>
      <w:r w:rsidR="004E1BCA">
        <w:t>es risques en termes de santé publique.</w:t>
      </w:r>
    </w:p>
    <w:p w:rsidR="005B4C32" w:rsidRPr="00854FC7" w:rsidRDefault="005B4C32" w:rsidP="005B4C32">
      <w:pPr>
        <w:rPr>
          <w:b/>
        </w:rPr>
      </w:pPr>
      <w:r w:rsidRPr="00854FC7">
        <w:rPr>
          <w:b/>
        </w:rPr>
        <w:t xml:space="preserve">Indicateurs </w:t>
      </w:r>
    </w:p>
    <w:p w:rsidR="004E1BCA" w:rsidRPr="004E1BCA" w:rsidRDefault="004E1BCA" w:rsidP="00794F9C">
      <w:pPr>
        <w:pStyle w:val="ListParagraph"/>
        <w:numPr>
          <w:ilvl w:val="0"/>
          <w:numId w:val="19"/>
        </w:numPr>
        <w:autoSpaceDE w:val="0"/>
        <w:autoSpaceDN w:val="0"/>
        <w:adjustRightInd w:val="0"/>
        <w:spacing w:before="0" w:after="0" w:line="240" w:lineRule="auto"/>
        <w:jc w:val="both"/>
        <w:rPr>
          <w:rFonts w:cstheme="minorHAnsi"/>
          <w:color w:val="000000"/>
          <w:szCs w:val="20"/>
        </w:rPr>
      </w:pPr>
      <w:r w:rsidRPr="004E1BCA">
        <w:rPr>
          <w:rFonts w:cstheme="minorHAnsi"/>
          <w:color w:val="000000"/>
          <w:szCs w:val="20"/>
        </w:rPr>
        <w:t xml:space="preserve">Nombre et % de ménages formés aux risques sanitaires de santé publique liés à l’eau, l’assainissement et les mauvaises pratiques d’hygiène. </w:t>
      </w:r>
    </w:p>
    <w:p w:rsidR="004E1BCA" w:rsidRDefault="004E1BCA" w:rsidP="00794F9C">
      <w:pPr>
        <w:pStyle w:val="ListParagraph"/>
        <w:numPr>
          <w:ilvl w:val="0"/>
          <w:numId w:val="19"/>
        </w:numPr>
        <w:autoSpaceDE w:val="0"/>
        <w:autoSpaceDN w:val="0"/>
        <w:adjustRightInd w:val="0"/>
        <w:spacing w:before="0" w:after="0" w:line="240" w:lineRule="auto"/>
        <w:jc w:val="both"/>
        <w:rPr>
          <w:rFonts w:cstheme="minorHAnsi"/>
          <w:color w:val="000000"/>
          <w:szCs w:val="20"/>
        </w:rPr>
      </w:pPr>
      <w:r w:rsidRPr="004E1BCA">
        <w:rPr>
          <w:rFonts w:cstheme="minorHAnsi"/>
          <w:color w:val="000000"/>
          <w:szCs w:val="20"/>
        </w:rPr>
        <w:t xml:space="preserve">Nombre et % de ménages bénéficiant d’un kit d’hygiène adaptés aux besoins spécifiques des hommes et des femmes. </w:t>
      </w:r>
    </w:p>
    <w:p w:rsidR="00854FC7" w:rsidRPr="004E1BCA" w:rsidRDefault="00854FC7" w:rsidP="00794F9C">
      <w:pPr>
        <w:pStyle w:val="ListParagraph"/>
        <w:numPr>
          <w:ilvl w:val="0"/>
          <w:numId w:val="19"/>
        </w:numPr>
        <w:autoSpaceDE w:val="0"/>
        <w:autoSpaceDN w:val="0"/>
        <w:adjustRightInd w:val="0"/>
        <w:spacing w:before="0" w:after="0" w:line="240" w:lineRule="auto"/>
        <w:jc w:val="both"/>
        <w:rPr>
          <w:rFonts w:cstheme="minorHAnsi"/>
          <w:color w:val="000000"/>
          <w:szCs w:val="20"/>
        </w:rPr>
      </w:pPr>
      <w:r>
        <w:rPr>
          <w:rFonts w:cstheme="minorHAnsi"/>
          <w:color w:val="000000"/>
          <w:szCs w:val="20"/>
        </w:rPr>
        <w:t xml:space="preserve">Dans le cadre de la prévention choléra, nombre et % des ménages sensibilisées au risque choléra et mettant en application les messages </w:t>
      </w:r>
      <w:r w:rsidR="001A3B4A">
        <w:rPr>
          <w:rFonts w:cstheme="minorHAnsi"/>
          <w:color w:val="000000"/>
          <w:szCs w:val="20"/>
        </w:rPr>
        <w:t>de prévention</w:t>
      </w:r>
      <w:r w:rsidR="001A3B4A">
        <w:rPr>
          <w:rStyle w:val="FootnoteReference"/>
          <w:rFonts w:cstheme="minorHAnsi"/>
          <w:color w:val="000000"/>
          <w:szCs w:val="20"/>
        </w:rPr>
        <w:footnoteReference w:id="1"/>
      </w:r>
    </w:p>
    <w:p w:rsidR="005B4C32" w:rsidRPr="001A3B4A" w:rsidRDefault="005B4C32" w:rsidP="005B4C32">
      <w:pPr>
        <w:rPr>
          <w:b/>
        </w:rPr>
      </w:pPr>
      <w:r w:rsidRPr="001A3B4A">
        <w:rPr>
          <w:b/>
        </w:rPr>
        <w:t>Pratiques et principes opérationnels</w:t>
      </w:r>
    </w:p>
    <w:p w:rsidR="00871C23" w:rsidRPr="001A3B4A" w:rsidRDefault="00871C23" w:rsidP="00794F9C">
      <w:pPr>
        <w:pStyle w:val="ListParagraph"/>
        <w:numPr>
          <w:ilvl w:val="0"/>
          <w:numId w:val="23"/>
        </w:numPr>
        <w:autoSpaceDE w:val="0"/>
        <w:autoSpaceDN w:val="0"/>
        <w:adjustRightInd w:val="0"/>
        <w:spacing w:after="0" w:line="240" w:lineRule="auto"/>
        <w:ind w:left="426"/>
        <w:jc w:val="both"/>
        <w:rPr>
          <w:sz w:val="24"/>
          <w:szCs w:val="24"/>
        </w:rPr>
      </w:pPr>
      <w:r w:rsidRPr="001A3B4A">
        <w:rPr>
          <w:sz w:val="24"/>
          <w:szCs w:val="24"/>
        </w:rPr>
        <w:t>L’eau potable devrait être traitée de façon effective et appropriée (chlorée</w:t>
      </w:r>
      <w:r w:rsidR="001A3B4A">
        <w:rPr>
          <w:sz w:val="24"/>
          <w:szCs w:val="24"/>
        </w:rPr>
        <w:t>, filtrée</w:t>
      </w:r>
      <w:r w:rsidRPr="001A3B4A">
        <w:rPr>
          <w:sz w:val="24"/>
          <w:szCs w:val="24"/>
        </w:rPr>
        <w:t xml:space="preserve"> ou bouillie) et stockée de manière sécuritaire dans des récipients à bouche étroite ou avec couvercles. </w:t>
      </w:r>
    </w:p>
    <w:p w:rsidR="00871C23" w:rsidRPr="001A3B4A" w:rsidRDefault="00871C23" w:rsidP="00794F9C">
      <w:pPr>
        <w:pStyle w:val="ListParagraph"/>
        <w:numPr>
          <w:ilvl w:val="0"/>
          <w:numId w:val="23"/>
        </w:numPr>
        <w:autoSpaceDE w:val="0"/>
        <w:autoSpaceDN w:val="0"/>
        <w:adjustRightInd w:val="0"/>
        <w:spacing w:after="0" w:line="240" w:lineRule="auto"/>
        <w:ind w:left="426" w:hanging="426"/>
        <w:jc w:val="both"/>
        <w:rPr>
          <w:sz w:val="24"/>
          <w:szCs w:val="24"/>
        </w:rPr>
      </w:pPr>
      <w:r w:rsidRPr="001A3B4A">
        <w:rPr>
          <w:sz w:val="24"/>
          <w:szCs w:val="24"/>
        </w:rPr>
        <w:t xml:space="preserve">Le savon devrait être distribué et régulièrement réapprovisionné </w:t>
      </w:r>
      <w:r w:rsidR="001A3B4A">
        <w:rPr>
          <w:sz w:val="24"/>
          <w:szCs w:val="24"/>
        </w:rPr>
        <w:t>dans les zones à haut risque de choléra et/ou pour les personnes affectées les plus vulnérables.</w:t>
      </w:r>
      <w:r w:rsidRPr="001A3B4A">
        <w:rPr>
          <w:sz w:val="24"/>
          <w:szCs w:val="24"/>
        </w:rPr>
        <w:t xml:space="preserve"> </w:t>
      </w:r>
    </w:p>
    <w:p w:rsidR="001A3B4A" w:rsidRDefault="00871C23" w:rsidP="00794F9C">
      <w:pPr>
        <w:pStyle w:val="ListParagraph"/>
        <w:numPr>
          <w:ilvl w:val="0"/>
          <w:numId w:val="23"/>
        </w:numPr>
        <w:autoSpaceDE w:val="0"/>
        <w:autoSpaceDN w:val="0"/>
        <w:adjustRightInd w:val="0"/>
        <w:spacing w:after="0" w:line="240" w:lineRule="auto"/>
        <w:ind w:left="426" w:hanging="426"/>
        <w:jc w:val="both"/>
        <w:rPr>
          <w:sz w:val="24"/>
          <w:szCs w:val="24"/>
        </w:rPr>
      </w:pPr>
      <w:r w:rsidRPr="001A3B4A">
        <w:rPr>
          <w:sz w:val="24"/>
          <w:szCs w:val="24"/>
        </w:rPr>
        <w:t xml:space="preserve">Promouvoir le lavage des mains avec du savon </w:t>
      </w:r>
      <w:r w:rsidR="001A3B4A">
        <w:rPr>
          <w:sz w:val="24"/>
          <w:szCs w:val="24"/>
        </w:rPr>
        <w:t>aux</w:t>
      </w:r>
      <w:r w:rsidRPr="001A3B4A">
        <w:rPr>
          <w:sz w:val="24"/>
          <w:szCs w:val="24"/>
        </w:rPr>
        <w:t xml:space="preserve"> moments </w:t>
      </w:r>
      <w:r w:rsidR="001A3B4A">
        <w:rPr>
          <w:sz w:val="24"/>
          <w:szCs w:val="24"/>
        </w:rPr>
        <w:t>critiques, après la défécation,</w:t>
      </w:r>
      <w:r w:rsidRPr="001A3B4A">
        <w:rPr>
          <w:sz w:val="24"/>
          <w:szCs w:val="24"/>
        </w:rPr>
        <w:t xml:space="preserve"> après avoir m</w:t>
      </w:r>
      <w:r w:rsidR="001A3B4A">
        <w:rPr>
          <w:sz w:val="24"/>
          <w:szCs w:val="24"/>
        </w:rPr>
        <w:t>anipulé les selles des enfants, avant de manger et</w:t>
      </w:r>
      <w:r w:rsidRPr="001A3B4A">
        <w:rPr>
          <w:sz w:val="24"/>
          <w:szCs w:val="24"/>
        </w:rPr>
        <w:t xml:space="preserve"> avant la préparation des repas</w:t>
      </w:r>
      <w:r w:rsidR="001A3B4A">
        <w:rPr>
          <w:sz w:val="24"/>
          <w:szCs w:val="24"/>
        </w:rPr>
        <w:t>.</w:t>
      </w:r>
      <w:r w:rsidRPr="001A3B4A">
        <w:rPr>
          <w:sz w:val="24"/>
          <w:szCs w:val="24"/>
        </w:rPr>
        <w:t xml:space="preserve"> </w:t>
      </w:r>
    </w:p>
    <w:p w:rsidR="001A3B4A" w:rsidRPr="001A3B4A" w:rsidRDefault="00871C23" w:rsidP="00794F9C">
      <w:pPr>
        <w:pStyle w:val="ListParagraph"/>
        <w:numPr>
          <w:ilvl w:val="0"/>
          <w:numId w:val="23"/>
        </w:numPr>
        <w:autoSpaceDE w:val="0"/>
        <w:autoSpaceDN w:val="0"/>
        <w:adjustRightInd w:val="0"/>
        <w:spacing w:after="0" w:line="240" w:lineRule="auto"/>
        <w:ind w:left="426" w:hanging="426"/>
        <w:jc w:val="both"/>
        <w:rPr>
          <w:sz w:val="24"/>
          <w:szCs w:val="24"/>
        </w:rPr>
      </w:pPr>
      <w:r w:rsidRPr="002B6EEA">
        <w:rPr>
          <w:sz w:val="24"/>
          <w:szCs w:val="24"/>
        </w:rPr>
        <w:t xml:space="preserve">Promotion </w:t>
      </w:r>
      <w:r w:rsidR="001A3B4A" w:rsidRPr="002B6EEA">
        <w:rPr>
          <w:sz w:val="24"/>
          <w:szCs w:val="24"/>
        </w:rPr>
        <w:t>de l’h</w:t>
      </w:r>
      <w:r w:rsidRPr="002B6EEA">
        <w:rPr>
          <w:sz w:val="24"/>
          <w:szCs w:val="24"/>
        </w:rPr>
        <w:t xml:space="preserve">ygiène parmi la population </w:t>
      </w:r>
      <w:r w:rsidR="001A3B4A" w:rsidRPr="002B6EEA">
        <w:rPr>
          <w:sz w:val="24"/>
          <w:szCs w:val="24"/>
        </w:rPr>
        <w:t>affectée</w:t>
      </w:r>
      <w:r w:rsidRPr="002B6EEA">
        <w:rPr>
          <w:sz w:val="24"/>
          <w:szCs w:val="24"/>
        </w:rPr>
        <w:t xml:space="preserve"> : </w:t>
      </w:r>
    </w:p>
    <w:p w:rsidR="00871C23" w:rsidRPr="002B6EEA" w:rsidRDefault="00871C23" w:rsidP="00794F9C">
      <w:pPr>
        <w:pStyle w:val="ListParagraph"/>
        <w:numPr>
          <w:ilvl w:val="0"/>
          <w:numId w:val="24"/>
        </w:numPr>
        <w:autoSpaceDE w:val="0"/>
        <w:autoSpaceDN w:val="0"/>
        <w:adjustRightInd w:val="0"/>
        <w:spacing w:after="0" w:line="240" w:lineRule="auto"/>
        <w:jc w:val="both"/>
        <w:rPr>
          <w:sz w:val="24"/>
          <w:szCs w:val="24"/>
        </w:rPr>
      </w:pPr>
      <w:r w:rsidRPr="002B6EEA">
        <w:rPr>
          <w:sz w:val="24"/>
          <w:szCs w:val="24"/>
        </w:rPr>
        <w:t>Communication de messages clés utilisant les méthodes appropriées (Groupe focal de discussion, théâtre, chanson etc.) et outils (matériel IEC)</w:t>
      </w:r>
      <w:r w:rsidR="001A3B4A" w:rsidRPr="002B6EEA">
        <w:rPr>
          <w:sz w:val="24"/>
          <w:szCs w:val="24"/>
        </w:rPr>
        <w:t> ;</w:t>
      </w:r>
      <w:r w:rsidRPr="002B6EEA">
        <w:rPr>
          <w:sz w:val="24"/>
          <w:szCs w:val="24"/>
        </w:rPr>
        <w:t xml:space="preserve"> </w:t>
      </w:r>
    </w:p>
    <w:p w:rsidR="00871C23" w:rsidRPr="002B6EEA" w:rsidRDefault="00871C23" w:rsidP="00794F9C">
      <w:pPr>
        <w:pStyle w:val="ListParagraph"/>
        <w:numPr>
          <w:ilvl w:val="0"/>
          <w:numId w:val="24"/>
        </w:numPr>
        <w:autoSpaceDE w:val="0"/>
        <w:autoSpaceDN w:val="0"/>
        <w:adjustRightInd w:val="0"/>
        <w:spacing w:after="0" w:line="240" w:lineRule="auto"/>
        <w:jc w:val="both"/>
        <w:rPr>
          <w:sz w:val="24"/>
          <w:szCs w:val="24"/>
        </w:rPr>
      </w:pPr>
      <w:r w:rsidRPr="002B6EEA">
        <w:rPr>
          <w:sz w:val="24"/>
          <w:szCs w:val="24"/>
        </w:rPr>
        <w:t>Mobilisation pour la préparation à l’urgence</w:t>
      </w:r>
      <w:r w:rsidR="001A3B4A" w:rsidRPr="002B6EEA">
        <w:rPr>
          <w:sz w:val="24"/>
          <w:szCs w:val="24"/>
        </w:rPr>
        <w:t> ;</w:t>
      </w:r>
      <w:r w:rsidRPr="002B6EEA">
        <w:rPr>
          <w:sz w:val="24"/>
          <w:szCs w:val="24"/>
        </w:rPr>
        <w:t xml:space="preserve"> </w:t>
      </w:r>
    </w:p>
    <w:p w:rsidR="00871C23" w:rsidRPr="002B6EEA" w:rsidRDefault="00871C23" w:rsidP="00794F9C">
      <w:pPr>
        <w:pStyle w:val="ListParagraph"/>
        <w:numPr>
          <w:ilvl w:val="0"/>
          <w:numId w:val="24"/>
        </w:numPr>
        <w:autoSpaceDE w:val="0"/>
        <w:autoSpaceDN w:val="0"/>
        <w:adjustRightInd w:val="0"/>
        <w:spacing w:after="0" w:line="240" w:lineRule="auto"/>
        <w:jc w:val="both"/>
        <w:rPr>
          <w:sz w:val="24"/>
          <w:szCs w:val="24"/>
        </w:rPr>
      </w:pPr>
      <w:r w:rsidRPr="002B6EEA">
        <w:rPr>
          <w:sz w:val="24"/>
          <w:szCs w:val="24"/>
        </w:rPr>
        <w:t xml:space="preserve">Sensibiliser sur la prévention </w:t>
      </w:r>
      <w:r w:rsidR="001A3B4A" w:rsidRPr="002B6EEA">
        <w:rPr>
          <w:sz w:val="24"/>
          <w:szCs w:val="24"/>
        </w:rPr>
        <w:t>du choléra ;</w:t>
      </w:r>
    </w:p>
    <w:p w:rsidR="00871C23" w:rsidRPr="002B6EEA" w:rsidRDefault="00871C23" w:rsidP="00794F9C">
      <w:pPr>
        <w:pStyle w:val="ListParagraph"/>
        <w:numPr>
          <w:ilvl w:val="0"/>
          <w:numId w:val="23"/>
        </w:numPr>
        <w:autoSpaceDE w:val="0"/>
        <w:autoSpaceDN w:val="0"/>
        <w:adjustRightInd w:val="0"/>
        <w:spacing w:after="0" w:line="240" w:lineRule="auto"/>
        <w:ind w:left="426" w:hanging="426"/>
        <w:jc w:val="both"/>
        <w:rPr>
          <w:sz w:val="24"/>
          <w:szCs w:val="24"/>
        </w:rPr>
      </w:pPr>
      <w:r w:rsidRPr="002B6EEA">
        <w:rPr>
          <w:sz w:val="24"/>
          <w:szCs w:val="24"/>
        </w:rPr>
        <w:t>S’assurer que les installations de lavage des mains contiennent de l’eau et du savon</w:t>
      </w:r>
      <w:r w:rsidR="002B6EEA">
        <w:rPr>
          <w:sz w:val="24"/>
          <w:szCs w:val="24"/>
        </w:rPr>
        <w:t>.</w:t>
      </w:r>
    </w:p>
    <w:p w:rsidR="00871C23" w:rsidRPr="002B6EEA" w:rsidRDefault="002B6EEA" w:rsidP="00794F9C">
      <w:pPr>
        <w:pStyle w:val="ListParagraph"/>
        <w:numPr>
          <w:ilvl w:val="0"/>
          <w:numId w:val="23"/>
        </w:numPr>
        <w:autoSpaceDE w:val="0"/>
        <w:autoSpaceDN w:val="0"/>
        <w:adjustRightInd w:val="0"/>
        <w:spacing w:after="0" w:line="240" w:lineRule="auto"/>
        <w:ind w:left="426" w:hanging="426"/>
        <w:jc w:val="both"/>
        <w:rPr>
          <w:sz w:val="24"/>
          <w:szCs w:val="24"/>
        </w:rPr>
      </w:pPr>
      <w:r>
        <w:rPr>
          <w:sz w:val="24"/>
          <w:szCs w:val="24"/>
        </w:rPr>
        <w:t xml:space="preserve">Assurer un bon </w:t>
      </w:r>
      <w:r w:rsidR="00871C23" w:rsidRPr="002B6EEA">
        <w:rPr>
          <w:sz w:val="24"/>
          <w:szCs w:val="24"/>
        </w:rPr>
        <w:t xml:space="preserve">drainage autour des </w:t>
      </w:r>
      <w:r>
        <w:rPr>
          <w:sz w:val="24"/>
          <w:szCs w:val="24"/>
        </w:rPr>
        <w:t>infrastructures</w:t>
      </w:r>
      <w:r w:rsidR="00871C23" w:rsidRPr="002B6EEA">
        <w:rPr>
          <w:sz w:val="24"/>
          <w:szCs w:val="24"/>
        </w:rPr>
        <w:t xml:space="preserve"> WASH</w:t>
      </w:r>
      <w:r>
        <w:rPr>
          <w:sz w:val="24"/>
          <w:szCs w:val="24"/>
        </w:rPr>
        <w:t>.</w:t>
      </w:r>
      <w:r w:rsidR="00871C23" w:rsidRPr="002B6EEA">
        <w:rPr>
          <w:sz w:val="24"/>
          <w:szCs w:val="24"/>
        </w:rPr>
        <w:t xml:space="preserve"> </w:t>
      </w:r>
    </w:p>
    <w:p w:rsidR="00871C23" w:rsidRPr="002B6EEA" w:rsidRDefault="00871C23" w:rsidP="00794F9C">
      <w:pPr>
        <w:pStyle w:val="ListParagraph"/>
        <w:numPr>
          <w:ilvl w:val="0"/>
          <w:numId w:val="23"/>
        </w:numPr>
        <w:autoSpaceDE w:val="0"/>
        <w:autoSpaceDN w:val="0"/>
        <w:adjustRightInd w:val="0"/>
        <w:spacing w:after="0" w:line="240" w:lineRule="auto"/>
        <w:ind w:left="426" w:hanging="426"/>
        <w:jc w:val="both"/>
        <w:rPr>
          <w:sz w:val="24"/>
          <w:szCs w:val="24"/>
        </w:rPr>
      </w:pPr>
      <w:r w:rsidRPr="002B6EEA">
        <w:rPr>
          <w:sz w:val="24"/>
          <w:szCs w:val="24"/>
        </w:rPr>
        <w:t xml:space="preserve">Les efforts à la promotion de l’hygiène devraient </w:t>
      </w:r>
      <w:r w:rsidR="002B6EEA">
        <w:rPr>
          <w:sz w:val="24"/>
          <w:szCs w:val="24"/>
        </w:rPr>
        <w:t>utiliser des médias populaires et radios locales</w:t>
      </w:r>
      <w:r w:rsidRPr="002B6EEA">
        <w:rPr>
          <w:sz w:val="24"/>
          <w:szCs w:val="24"/>
        </w:rPr>
        <w:t xml:space="preserve"> et s’inscrire dans un cadre de multimédia plus large « connaissances, attitudes et pratiques » (CAP) et dans des programmes communautaires d’éducation de base</w:t>
      </w:r>
      <w:r w:rsidR="002B6EEA">
        <w:rPr>
          <w:sz w:val="24"/>
          <w:szCs w:val="24"/>
        </w:rPr>
        <w:t>.</w:t>
      </w:r>
    </w:p>
    <w:p w:rsidR="00871C23" w:rsidRPr="002B6EEA" w:rsidRDefault="00871C23" w:rsidP="00794F9C">
      <w:pPr>
        <w:pStyle w:val="ListParagraph"/>
        <w:numPr>
          <w:ilvl w:val="0"/>
          <w:numId w:val="23"/>
        </w:numPr>
        <w:autoSpaceDE w:val="0"/>
        <w:autoSpaceDN w:val="0"/>
        <w:adjustRightInd w:val="0"/>
        <w:spacing w:after="0" w:line="240" w:lineRule="auto"/>
        <w:ind w:left="426" w:hanging="426"/>
        <w:jc w:val="both"/>
        <w:rPr>
          <w:sz w:val="24"/>
          <w:szCs w:val="24"/>
        </w:rPr>
      </w:pPr>
      <w:r w:rsidRPr="002B6EEA">
        <w:rPr>
          <w:sz w:val="24"/>
          <w:szCs w:val="24"/>
        </w:rPr>
        <w:t xml:space="preserve">Les activités de promotion de l'hygiène dans les écoles doivent être prises en compte </w:t>
      </w:r>
      <w:r w:rsidR="002B6EEA">
        <w:rPr>
          <w:sz w:val="24"/>
          <w:szCs w:val="24"/>
        </w:rPr>
        <w:t>dans les efforts plus larges d’éducation à l’hygiène.</w:t>
      </w:r>
    </w:p>
    <w:p w:rsidR="001A3B4A" w:rsidRPr="002B6EEA" w:rsidRDefault="00871C23" w:rsidP="00794F9C">
      <w:pPr>
        <w:pStyle w:val="ListParagraph"/>
        <w:numPr>
          <w:ilvl w:val="0"/>
          <w:numId w:val="23"/>
        </w:numPr>
        <w:autoSpaceDE w:val="0"/>
        <w:autoSpaceDN w:val="0"/>
        <w:adjustRightInd w:val="0"/>
        <w:spacing w:after="0" w:line="240" w:lineRule="auto"/>
        <w:ind w:left="426" w:hanging="426"/>
        <w:jc w:val="both"/>
        <w:rPr>
          <w:sz w:val="24"/>
          <w:szCs w:val="24"/>
        </w:rPr>
      </w:pPr>
      <w:r w:rsidRPr="002B6EEA">
        <w:rPr>
          <w:sz w:val="24"/>
          <w:szCs w:val="24"/>
        </w:rPr>
        <w:lastRenderedPageBreak/>
        <w:t xml:space="preserve">Les kits d'hygiène doivent consister d’au moins : </w:t>
      </w:r>
    </w:p>
    <w:tbl>
      <w:tblPr>
        <w:tblStyle w:val="TableGrid"/>
        <w:tblW w:w="8142" w:type="dxa"/>
        <w:jc w:val="center"/>
        <w:tblInd w:w="-929" w:type="dxa"/>
        <w:tblLook w:val="04A0"/>
      </w:tblPr>
      <w:tblGrid>
        <w:gridCol w:w="680"/>
        <w:gridCol w:w="1832"/>
        <w:gridCol w:w="5630"/>
      </w:tblGrid>
      <w:tr w:rsidR="001A3B4A" w:rsidRPr="002B6EEA" w:rsidTr="001A3B4A">
        <w:trPr>
          <w:jc w:val="center"/>
        </w:trPr>
        <w:tc>
          <w:tcPr>
            <w:tcW w:w="680" w:type="dxa"/>
          </w:tcPr>
          <w:p w:rsidR="001A3B4A" w:rsidRPr="002B6EEA" w:rsidRDefault="001A3B4A" w:rsidP="002B6EEA">
            <w:pPr>
              <w:autoSpaceDE w:val="0"/>
              <w:autoSpaceDN w:val="0"/>
              <w:adjustRightInd w:val="0"/>
              <w:ind w:left="0" w:firstLine="0"/>
              <w:jc w:val="both"/>
              <w:rPr>
                <w:sz w:val="24"/>
                <w:szCs w:val="24"/>
              </w:rPr>
            </w:pPr>
            <w:r w:rsidRPr="002B6EEA">
              <w:rPr>
                <w:sz w:val="24"/>
                <w:szCs w:val="24"/>
              </w:rPr>
              <w:t>Item</w:t>
            </w:r>
          </w:p>
        </w:tc>
        <w:tc>
          <w:tcPr>
            <w:tcW w:w="1832" w:type="dxa"/>
          </w:tcPr>
          <w:p w:rsidR="001A3B4A" w:rsidRPr="002B6EEA" w:rsidRDefault="001A3B4A" w:rsidP="002B6EEA">
            <w:pPr>
              <w:autoSpaceDE w:val="0"/>
              <w:autoSpaceDN w:val="0"/>
              <w:adjustRightInd w:val="0"/>
              <w:ind w:left="0" w:firstLine="0"/>
              <w:jc w:val="both"/>
              <w:rPr>
                <w:sz w:val="24"/>
                <w:szCs w:val="24"/>
              </w:rPr>
            </w:pPr>
            <w:r w:rsidRPr="002B6EEA">
              <w:rPr>
                <w:sz w:val="24"/>
                <w:szCs w:val="24"/>
              </w:rPr>
              <w:t>Description</w:t>
            </w:r>
          </w:p>
        </w:tc>
        <w:tc>
          <w:tcPr>
            <w:tcW w:w="5630" w:type="dxa"/>
          </w:tcPr>
          <w:p w:rsidR="001A3B4A" w:rsidRPr="002B6EEA" w:rsidRDefault="001A3B4A" w:rsidP="002B6EEA">
            <w:pPr>
              <w:autoSpaceDE w:val="0"/>
              <w:autoSpaceDN w:val="0"/>
              <w:adjustRightInd w:val="0"/>
              <w:ind w:left="0" w:firstLine="0"/>
              <w:jc w:val="both"/>
              <w:rPr>
                <w:sz w:val="24"/>
                <w:szCs w:val="24"/>
              </w:rPr>
            </w:pPr>
            <w:r w:rsidRPr="002B6EEA">
              <w:rPr>
                <w:sz w:val="24"/>
                <w:szCs w:val="24"/>
              </w:rPr>
              <w:t>Quantité</w:t>
            </w:r>
          </w:p>
        </w:tc>
      </w:tr>
      <w:tr w:rsidR="001A3B4A" w:rsidRPr="002B6EEA" w:rsidTr="001A3B4A">
        <w:trPr>
          <w:jc w:val="center"/>
        </w:trPr>
        <w:tc>
          <w:tcPr>
            <w:tcW w:w="680" w:type="dxa"/>
          </w:tcPr>
          <w:p w:rsidR="001A3B4A" w:rsidRPr="002B6EEA" w:rsidRDefault="001A3B4A" w:rsidP="002B6EEA">
            <w:pPr>
              <w:autoSpaceDE w:val="0"/>
              <w:autoSpaceDN w:val="0"/>
              <w:adjustRightInd w:val="0"/>
              <w:ind w:left="0" w:firstLine="0"/>
              <w:jc w:val="both"/>
              <w:rPr>
                <w:sz w:val="24"/>
                <w:szCs w:val="24"/>
              </w:rPr>
            </w:pPr>
            <w:r w:rsidRPr="002B6EEA">
              <w:rPr>
                <w:sz w:val="24"/>
                <w:szCs w:val="24"/>
              </w:rPr>
              <w:t>1</w:t>
            </w:r>
          </w:p>
        </w:tc>
        <w:tc>
          <w:tcPr>
            <w:tcW w:w="1832" w:type="dxa"/>
          </w:tcPr>
          <w:p w:rsidR="001A3B4A" w:rsidRPr="002B6EEA" w:rsidRDefault="001A3B4A" w:rsidP="002B6EEA">
            <w:pPr>
              <w:autoSpaceDE w:val="0"/>
              <w:autoSpaceDN w:val="0"/>
              <w:adjustRightInd w:val="0"/>
              <w:ind w:left="0" w:firstLine="0"/>
              <w:jc w:val="both"/>
              <w:rPr>
                <w:sz w:val="24"/>
                <w:szCs w:val="24"/>
              </w:rPr>
            </w:pPr>
            <w:r w:rsidRPr="002B6EEA">
              <w:rPr>
                <w:sz w:val="24"/>
                <w:szCs w:val="24"/>
              </w:rPr>
              <w:t xml:space="preserve">Savon </w:t>
            </w:r>
          </w:p>
        </w:tc>
        <w:tc>
          <w:tcPr>
            <w:tcW w:w="5630" w:type="dxa"/>
          </w:tcPr>
          <w:p w:rsidR="001A3B4A" w:rsidRPr="002B6EEA" w:rsidRDefault="001A3B4A" w:rsidP="002B6EEA">
            <w:pPr>
              <w:autoSpaceDE w:val="0"/>
              <w:autoSpaceDN w:val="0"/>
              <w:adjustRightInd w:val="0"/>
              <w:ind w:left="0" w:firstLine="0"/>
              <w:jc w:val="both"/>
              <w:rPr>
                <w:sz w:val="24"/>
                <w:szCs w:val="24"/>
              </w:rPr>
            </w:pPr>
            <w:r w:rsidRPr="002B6EEA">
              <w:rPr>
                <w:sz w:val="24"/>
                <w:szCs w:val="24"/>
              </w:rPr>
              <w:t>250g par personne et par mois pour le lavage et le bain</w:t>
            </w:r>
          </w:p>
        </w:tc>
      </w:tr>
      <w:tr w:rsidR="001A3B4A" w:rsidRPr="002B6EEA" w:rsidTr="001A3B4A">
        <w:trPr>
          <w:trHeight w:val="70"/>
          <w:jc w:val="center"/>
        </w:trPr>
        <w:tc>
          <w:tcPr>
            <w:tcW w:w="680" w:type="dxa"/>
          </w:tcPr>
          <w:p w:rsidR="001A3B4A" w:rsidRPr="002B6EEA" w:rsidRDefault="001A3B4A" w:rsidP="002B6EEA">
            <w:pPr>
              <w:autoSpaceDE w:val="0"/>
              <w:autoSpaceDN w:val="0"/>
              <w:adjustRightInd w:val="0"/>
              <w:ind w:left="0" w:firstLine="0"/>
              <w:jc w:val="both"/>
              <w:rPr>
                <w:sz w:val="24"/>
                <w:szCs w:val="24"/>
              </w:rPr>
            </w:pPr>
            <w:r w:rsidRPr="002B6EEA">
              <w:rPr>
                <w:sz w:val="24"/>
                <w:szCs w:val="24"/>
              </w:rPr>
              <w:t>2</w:t>
            </w:r>
          </w:p>
        </w:tc>
        <w:tc>
          <w:tcPr>
            <w:tcW w:w="1832" w:type="dxa"/>
          </w:tcPr>
          <w:p w:rsidR="001A3B4A" w:rsidRPr="002B6EEA" w:rsidRDefault="001A3B4A" w:rsidP="002B6EEA">
            <w:pPr>
              <w:autoSpaceDE w:val="0"/>
              <w:autoSpaceDN w:val="0"/>
              <w:adjustRightInd w:val="0"/>
              <w:ind w:left="0" w:firstLine="0"/>
              <w:jc w:val="both"/>
              <w:rPr>
                <w:sz w:val="24"/>
                <w:szCs w:val="24"/>
              </w:rPr>
            </w:pPr>
            <w:proofErr w:type="spellStart"/>
            <w:r w:rsidRPr="002B6EEA">
              <w:rPr>
                <w:sz w:val="24"/>
                <w:szCs w:val="24"/>
              </w:rPr>
              <w:t>Aquatab</w:t>
            </w:r>
            <w:proofErr w:type="spellEnd"/>
            <w:r w:rsidRPr="002B6EEA">
              <w:rPr>
                <w:sz w:val="24"/>
                <w:szCs w:val="24"/>
              </w:rPr>
              <w:t xml:space="preserve"> </w:t>
            </w:r>
            <w:r w:rsidRPr="002B6EEA">
              <w:rPr>
                <w:sz w:val="24"/>
                <w:szCs w:val="24"/>
              </w:rPr>
              <w:t>ou Pur</w:t>
            </w:r>
          </w:p>
        </w:tc>
        <w:tc>
          <w:tcPr>
            <w:tcW w:w="5630" w:type="dxa"/>
          </w:tcPr>
          <w:p w:rsidR="001A3B4A" w:rsidRPr="002B6EEA" w:rsidRDefault="001A3B4A" w:rsidP="002B6EEA">
            <w:pPr>
              <w:autoSpaceDE w:val="0"/>
              <w:autoSpaceDN w:val="0"/>
              <w:adjustRightInd w:val="0"/>
              <w:ind w:left="0" w:firstLine="0"/>
              <w:jc w:val="both"/>
              <w:rPr>
                <w:sz w:val="24"/>
                <w:szCs w:val="24"/>
              </w:rPr>
            </w:pPr>
            <w:r w:rsidRPr="002B6EEA">
              <w:rPr>
                <w:sz w:val="24"/>
                <w:szCs w:val="24"/>
              </w:rPr>
              <w:t>Quantité suffisante pour garantir 10L par personne et par jour</w:t>
            </w:r>
          </w:p>
        </w:tc>
      </w:tr>
      <w:tr w:rsidR="001A3B4A" w:rsidRPr="002B6EEA" w:rsidTr="001A3B4A">
        <w:trPr>
          <w:jc w:val="center"/>
        </w:trPr>
        <w:tc>
          <w:tcPr>
            <w:tcW w:w="680" w:type="dxa"/>
          </w:tcPr>
          <w:p w:rsidR="001A3B4A" w:rsidRPr="002B6EEA" w:rsidRDefault="001A3B4A" w:rsidP="002B6EEA">
            <w:pPr>
              <w:autoSpaceDE w:val="0"/>
              <w:autoSpaceDN w:val="0"/>
              <w:adjustRightInd w:val="0"/>
              <w:ind w:left="0" w:firstLine="0"/>
              <w:jc w:val="both"/>
              <w:rPr>
                <w:sz w:val="24"/>
                <w:szCs w:val="24"/>
              </w:rPr>
            </w:pPr>
            <w:r w:rsidRPr="002B6EEA">
              <w:rPr>
                <w:sz w:val="24"/>
                <w:szCs w:val="24"/>
              </w:rPr>
              <w:t>3</w:t>
            </w:r>
          </w:p>
        </w:tc>
        <w:tc>
          <w:tcPr>
            <w:tcW w:w="1832" w:type="dxa"/>
          </w:tcPr>
          <w:p w:rsidR="001A3B4A" w:rsidRPr="002B6EEA" w:rsidRDefault="001A3B4A" w:rsidP="002B6EEA">
            <w:pPr>
              <w:autoSpaceDE w:val="0"/>
              <w:autoSpaceDN w:val="0"/>
              <w:adjustRightInd w:val="0"/>
              <w:ind w:left="0" w:firstLine="0"/>
              <w:jc w:val="both"/>
              <w:rPr>
                <w:sz w:val="24"/>
                <w:szCs w:val="24"/>
              </w:rPr>
            </w:pPr>
            <w:r w:rsidRPr="002B6EEA">
              <w:rPr>
                <w:sz w:val="24"/>
                <w:szCs w:val="24"/>
              </w:rPr>
              <w:t>Bidon 10 L</w:t>
            </w:r>
          </w:p>
        </w:tc>
        <w:tc>
          <w:tcPr>
            <w:tcW w:w="5630" w:type="dxa"/>
          </w:tcPr>
          <w:p w:rsidR="001A3B4A" w:rsidRPr="002B6EEA" w:rsidRDefault="002B6EEA" w:rsidP="002B6EEA">
            <w:pPr>
              <w:autoSpaceDE w:val="0"/>
              <w:autoSpaceDN w:val="0"/>
              <w:adjustRightInd w:val="0"/>
              <w:ind w:left="0" w:firstLine="0"/>
              <w:jc w:val="both"/>
              <w:rPr>
                <w:sz w:val="24"/>
                <w:szCs w:val="24"/>
              </w:rPr>
            </w:pPr>
            <w:r w:rsidRPr="002B6EEA">
              <w:rPr>
                <w:sz w:val="24"/>
                <w:szCs w:val="24"/>
              </w:rPr>
              <w:t>1</w:t>
            </w:r>
          </w:p>
        </w:tc>
      </w:tr>
    </w:tbl>
    <w:p w:rsidR="002B6EEA" w:rsidRDefault="00871C23" w:rsidP="00794F9C">
      <w:pPr>
        <w:pStyle w:val="ListParagraph"/>
        <w:numPr>
          <w:ilvl w:val="0"/>
          <w:numId w:val="23"/>
        </w:numPr>
        <w:autoSpaceDE w:val="0"/>
        <w:autoSpaceDN w:val="0"/>
        <w:adjustRightInd w:val="0"/>
        <w:spacing w:after="0" w:line="240" w:lineRule="auto"/>
        <w:ind w:left="426" w:hanging="426"/>
        <w:jc w:val="both"/>
        <w:rPr>
          <w:sz w:val="24"/>
          <w:szCs w:val="24"/>
        </w:rPr>
      </w:pPr>
      <w:r w:rsidRPr="002B6EEA">
        <w:rPr>
          <w:sz w:val="24"/>
          <w:szCs w:val="24"/>
        </w:rPr>
        <w:t xml:space="preserve">Les messages clés sur la promotion </w:t>
      </w:r>
      <w:r w:rsidR="002B6EEA">
        <w:rPr>
          <w:sz w:val="24"/>
          <w:szCs w:val="24"/>
        </w:rPr>
        <w:t>de</w:t>
      </w:r>
      <w:r w:rsidRPr="002B6EEA">
        <w:rPr>
          <w:sz w:val="24"/>
          <w:szCs w:val="24"/>
        </w:rPr>
        <w:t xml:space="preserve"> l’hygiène devraient inclure au moins : </w:t>
      </w:r>
    </w:p>
    <w:p w:rsidR="00871C23" w:rsidRPr="002B6EEA" w:rsidRDefault="00871C23" w:rsidP="00794F9C">
      <w:pPr>
        <w:pStyle w:val="ListParagraph"/>
        <w:numPr>
          <w:ilvl w:val="0"/>
          <w:numId w:val="25"/>
        </w:numPr>
        <w:autoSpaceDE w:val="0"/>
        <w:autoSpaceDN w:val="0"/>
        <w:adjustRightInd w:val="0"/>
        <w:spacing w:after="0" w:line="240" w:lineRule="auto"/>
        <w:jc w:val="both"/>
        <w:rPr>
          <w:sz w:val="24"/>
          <w:szCs w:val="24"/>
        </w:rPr>
      </w:pPr>
      <w:r w:rsidRPr="002B6EEA">
        <w:rPr>
          <w:sz w:val="24"/>
          <w:szCs w:val="24"/>
        </w:rPr>
        <w:t xml:space="preserve">Le lavage des mains au savon après la défécation, après avoir manipulé les excréments des bébés et des enfants, avant la préparation des aliments et avant de manger. </w:t>
      </w:r>
    </w:p>
    <w:p w:rsidR="00871C23" w:rsidRPr="002B6EEA" w:rsidRDefault="00871C23" w:rsidP="00794F9C">
      <w:pPr>
        <w:pStyle w:val="ListParagraph"/>
        <w:numPr>
          <w:ilvl w:val="0"/>
          <w:numId w:val="25"/>
        </w:numPr>
        <w:autoSpaceDE w:val="0"/>
        <w:autoSpaceDN w:val="0"/>
        <w:adjustRightInd w:val="0"/>
        <w:spacing w:after="0" w:line="240" w:lineRule="auto"/>
        <w:jc w:val="both"/>
        <w:rPr>
          <w:sz w:val="24"/>
          <w:szCs w:val="24"/>
        </w:rPr>
      </w:pPr>
      <w:r w:rsidRPr="002B6EEA">
        <w:rPr>
          <w:sz w:val="24"/>
          <w:szCs w:val="24"/>
        </w:rPr>
        <w:t xml:space="preserve">Des informations sur le traitement de l'eau potable, au niveau des ménages sur la manipulation et stockage. </w:t>
      </w:r>
    </w:p>
    <w:p w:rsidR="00871C23" w:rsidRPr="002B6EEA" w:rsidRDefault="002B6EEA" w:rsidP="00794F9C">
      <w:pPr>
        <w:pStyle w:val="ListParagraph"/>
        <w:numPr>
          <w:ilvl w:val="0"/>
          <w:numId w:val="25"/>
        </w:numPr>
        <w:autoSpaceDE w:val="0"/>
        <w:autoSpaceDN w:val="0"/>
        <w:adjustRightInd w:val="0"/>
        <w:spacing w:after="0" w:line="240" w:lineRule="auto"/>
        <w:jc w:val="both"/>
        <w:rPr>
          <w:sz w:val="24"/>
          <w:szCs w:val="24"/>
        </w:rPr>
      </w:pPr>
      <w:r>
        <w:rPr>
          <w:sz w:val="24"/>
          <w:szCs w:val="24"/>
        </w:rPr>
        <w:t>L’utilisation et l</w:t>
      </w:r>
      <w:r w:rsidR="00871C23" w:rsidRPr="002B6EEA">
        <w:rPr>
          <w:sz w:val="24"/>
          <w:szCs w:val="24"/>
        </w:rPr>
        <w:t xml:space="preserve">’entretien hygiénique des latrines. </w:t>
      </w:r>
    </w:p>
    <w:p w:rsidR="00871C23" w:rsidRPr="002B6EEA" w:rsidRDefault="00871C23" w:rsidP="00794F9C">
      <w:pPr>
        <w:pStyle w:val="ListParagraph"/>
        <w:numPr>
          <w:ilvl w:val="0"/>
          <w:numId w:val="25"/>
        </w:numPr>
        <w:autoSpaceDE w:val="0"/>
        <w:autoSpaceDN w:val="0"/>
        <w:adjustRightInd w:val="0"/>
        <w:spacing w:after="0" w:line="240" w:lineRule="auto"/>
        <w:jc w:val="both"/>
        <w:rPr>
          <w:sz w:val="24"/>
          <w:szCs w:val="24"/>
        </w:rPr>
      </w:pPr>
      <w:r w:rsidRPr="002B6EEA">
        <w:rPr>
          <w:sz w:val="24"/>
          <w:szCs w:val="24"/>
        </w:rPr>
        <w:t>Couvrir les aliments</w:t>
      </w:r>
      <w:r w:rsidR="002B6EEA">
        <w:rPr>
          <w:sz w:val="24"/>
          <w:szCs w:val="24"/>
        </w:rPr>
        <w:t xml:space="preserve"> et l’importance de l’hygiène alimentaire.</w:t>
      </w:r>
      <w:r w:rsidRPr="002B6EEA">
        <w:rPr>
          <w:sz w:val="24"/>
          <w:szCs w:val="24"/>
        </w:rPr>
        <w:t xml:space="preserve"> </w:t>
      </w:r>
    </w:p>
    <w:p w:rsidR="00871C23" w:rsidRPr="00871C23" w:rsidRDefault="00871C23" w:rsidP="00871C23">
      <w:pPr>
        <w:autoSpaceDE w:val="0"/>
        <w:autoSpaceDN w:val="0"/>
        <w:adjustRightInd w:val="0"/>
        <w:spacing w:before="0" w:after="0" w:line="240" w:lineRule="auto"/>
        <w:ind w:left="0" w:firstLine="0"/>
        <w:rPr>
          <w:rFonts w:ascii="Calibri" w:hAnsi="Calibri" w:cs="Calibri"/>
          <w:color w:val="000000"/>
          <w:sz w:val="23"/>
          <w:szCs w:val="23"/>
        </w:rPr>
      </w:pPr>
    </w:p>
    <w:p w:rsidR="00CF341A" w:rsidRDefault="00121065" w:rsidP="00794F9C">
      <w:pPr>
        <w:pStyle w:val="ListParagraph"/>
        <w:numPr>
          <w:ilvl w:val="1"/>
          <w:numId w:val="1"/>
        </w:numPr>
        <w:rPr>
          <w:sz w:val="32"/>
        </w:rPr>
      </w:pPr>
      <w:r w:rsidRPr="00121065">
        <w:rPr>
          <w:sz w:val="32"/>
        </w:rPr>
        <w:t>Lutte anti-vectorielle</w:t>
      </w:r>
      <w:r w:rsidR="005B4C32">
        <w:rPr>
          <w:sz w:val="32"/>
        </w:rPr>
        <w:t xml:space="preserve"> </w:t>
      </w:r>
    </w:p>
    <w:p w:rsidR="005B4C32" w:rsidRPr="00854FC7" w:rsidRDefault="005B4C32" w:rsidP="005B4C32">
      <w:pPr>
        <w:rPr>
          <w:b/>
        </w:rPr>
      </w:pPr>
      <w:r w:rsidRPr="00854FC7">
        <w:rPr>
          <w:b/>
        </w:rPr>
        <w:t>Orientation stratégique</w:t>
      </w:r>
    </w:p>
    <w:p w:rsidR="00871C23" w:rsidRPr="00871C23" w:rsidRDefault="00871C23" w:rsidP="00871C23">
      <w:pPr>
        <w:ind w:left="0" w:firstLine="0"/>
        <w:jc w:val="both"/>
        <w:rPr>
          <w:sz w:val="23"/>
          <w:szCs w:val="23"/>
        </w:rPr>
      </w:pPr>
      <w:r>
        <w:rPr>
          <w:sz w:val="23"/>
          <w:szCs w:val="23"/>
        </w:rPr>
        <w:t>Contribuer à la réduction des risques de maladies vectorielles liées à l’eau et l’assainissement, en mettant en œuvre les activités appropriées devant mener à l’utilisation de matériels de protection anti-vectorielle.</w:t>
      </w:r>
    </w:p>
    <w:p w:rsidR="005B4C32" w:rsidRPr="00854FC7" w:rsidRDefault="005B4C32" w:rsidP="005B4C32">
      <w:pPr>
        <w:rPr>
          <w:b/>
        </w:rPr>
      </w:pPr>
      <w:r w:rsidRPr="00854FC7">
        <w:rPr>
          <w:b/>
        </w:rPr>
        <w:t>Objectif</w:t>
      </w:r>
    </w:p>
    <w:p w:rsidR="00854FC7" w:rsidRDefault="00854FC7" w:rsidP="00794F9C">
      <w:pPr>
        <w:pStyle w:val="ListParagraph"/>
        <w:numPr>
          <w:ilvl w:val="0"/>
          <w:numId w:val="20"/>
        </w:numPr>
        <w:jc w:val="both"/>
      </w:pPr>
      <w:r>
        <w:t>Les hommes, femmes et enfants vulnérables affectées par les crises obtiennent et utilisent des moustiquaires imprégnées leur permettant de se prémunir contre le paludisme.</w:t>
      </w:r>
    </w:p>
    <w:p w:rsidR="005B4C32" w:rsidRPr="00854FC7" w:rsidRDefault="005B4C32" w:rsidP="005B4C32">
      <w:pPr>
        <w:rPr>
          <w:b/>
        </w:rPr>
      </w:pPr>
      <w:r w:rsidRPr="00854FC7">
        <w:rPr>
          <w:b/>
        </w:rPr>
        <w:t xml:space="preserve">Indicateurs </w:t>
      </w:r>
    </w:p>
    <w:p w:rsidR="00854FC7" w:rsidRDefault="00854FC7" w:rsidP="00794F9C">
      <w:pPr>
        <w:pStyle w:val="ListParagraph"/>
        <w:numPr>
          <w:ilvl w:val="0"/>
          <w:numId w:val="21"/>
        </w:numPr>
        <w:autoSpaceDE w:val="0"/>
        <w:autoSpaceDN w:val="0"/>
        <w:adjustRightInd w:val="0"/>
        <w:spacing w:before="0" w:after="0" w:line="240" w:lineRule="auto"/>
        <w:rPr>
          <w:rFonts w:asciiTheme="minorHAnsi" w:hAnsiTheme="minorHAnsi" w:cstheme="minorHAnsi"/>
          <w:color w:val="000000"/>
          <w:szCs w:val="20"/>
        </w:rPr>
      </w:pPr>
      <w:r w:rsidRPr="00854FC7">
        <w:rPr>
          <w:rFonts w:asciiTheme="minorHAnsi" w:hAnsiTheme="minorHAnsi" w:cstheme="minorHAnsi"/>
          <w:color w:val="000000"/>
          <w:szCs w:val="20"/>
        </w:rPr>
        <w:t xml:space="preserve">Nombre et % de personnes sensibilisées au paludisme. </w:t>
      </w:r>
    </w:p>
    <w:p w:rsidR="00854FC7" w:rsidRPr="00854FC7" w:rsidRDefault="00854FC7" w:rsidP="00794F9C">
      <w:pPr>
        <w:pStyle w:val="ListParagraph"/>
        <w:numPr>
          <w:ilvl w:val="0"/>
          <w:numId w:val="21"/>
        </w:numPr>
        <w:autoSpaceDE w:val="0"/>
        <w:autoSpaceDN w:val="0"/>
        <w:adjustRightInd w:val="0"/>
        <w:spacing w:before="0" w:after="0" w:line="240" w:lineRule="auto"/>
        <w:rPr>
          <w:rFonts w:ascii="Arial" w:hAnsi="Arial" w:cs="Arial"/>
          <w:color w:val="000000"/>
          <w:sz w:val="20"/>
          <w:szCs w:val="20"/>
        </w:rPr>
      </w:pPr>
      <w:r w:rsidRPr="00854FC7">
        <w:rPr>
          <w:rFonts w:ascii="Arial" w:hAnsi="Arial" w:cs="Arial"/>
          <w:color w:val="000000"/>
          <w:sz w:val="20"/>
          <w:szCs w:val="20"/>
        </w:rPr>
        <w:t xml:space="preserve">Nombre et % de ménages à risque recevant </w:t>
      </w:r>
      <w:r>
        <w:rPr>
          <w:rFonts w:ascii="Arial" w:hAnsi="Arial" w:cs="Arial"/>
          <w:color w:val="000000"/>
          <w:sz w:val="20"/>
          <w:szCs w:val="20"/>
        </w:rPr>
        <w:t xml:space="preserve">une moustiquaire pour la </w:t>
      </w:r>
      <w:r w:rsidRPr="00854FC7">
        <w:rPr>
          <w:rFonts w:ascii="Arial" w:hAnsi="Arial" w:cs="Arial"/>
          <w:color w:val="000000"/>
          <w:sz w:val="20"/>
          <w:szCs w:val="20"/>
        </w:rPr>
        <w:t>prévention paludisme.</w:t>
      </w:r>
    </w:p>
    <w:p w:rsidR="005B4C32" w:rsidRPr="00854FC7" w:rsidRDefault="005B4C32" w:rsidP="005B4C32">
      <w:pPr>
        <w:rPr>
          <w:b/>
        </w:rPr>
      </w:pPr>
      <w:r w:rsidRPr="00854FC7">
        <w:rPr>
          <w:b/>
        </w:rPr>
        <w:t>Pratiques et principes opérationnels</w:t>
      </w:r>
    </w:p>
    <w:p w:rsidR="00854FC7" w:rsidRDefault="00854FC7" w:rsidP="00794F9C">
      <w:pPr>
        <w:pStyle w:val="ListParagraph"/>
        <w:numPr>
          <w:ilvl w:val="0"/>
          <w:numId w:val="22"/>
        </w:numPr>
        <w:autoSpaceDE w:val="0"/>
        <w:autoSpaceDN w:val="0"/>
        <w:adjustRightInd w:val="0"/>
        <w:spacing w:after="0" w:line="240" w:lineRule="auto"/>
        <w:jc w:val="both"/>
        <w:rPr>
          <w:sz w:val="24"/>
          <w:szCs w:val="24"/>
        </w:rPr>
      </w:pPr>
      <w:r>
        <w:rPr>
          <w:sz w:val="24"/>
          <w:szCs w:val="24"/>
        </w:rPr>
        <w:t>Les zones d’intervention sont ciblées par ordre de priorité conforment aux orientations stratégiques.</w:t>
      </w:r>
    </w:p>
    <w:p w:rsidR="00854FC7" w:rsidRDefault="00854FC7" w:rsidP="00794F9C">
      <w:pPr>
        <w:pStyle w:val="ListParagraph"/>
        <w:numPr>
          <w:ilvl w:val="0"/>
          <w:numId w:val="22"/>
        </w:numPr>
        <w:autoSpaceDE w:val="0"/>
        <w:autoSpaceDN w:val="0"/>
        <w:adjustRightInd w:val="0"/>
        <w:spacing w:after="0" w:line="240" w:lineRule="auto"/>
        <w:jc w:val="both"/>
        <w:rPr>
          <w:sz w:val="24"/>
          <w:szCs w:val="24"/>
        </w:rPr>
      </w:pPr>
      <w:r>
        <w:rPr>
          <w:sz w:val="24"/>
          <w:szCs w:val="24"/>
        </w:rPr>
        <w:t>Une approche visant une couverture totale de la zone ciblée est recommandée.</w:t>
      </w:r>
    </w:p>
    <w:p w:rsidR="00871C23" w:rsidRDefault="00854FC7" w:rsidP="00794F9C">
      <w:pPr>
        <w:pStyle w:val="ListParagraph"/>
        <w:numPr>
          <w:ilvl w:val="0"/>
          <w:numId w:val="22"/>
        </w:numPr>
        <w:autoSpaceDE w:val="0"/>
        <w:autoSpaceDN w:val="0"/>
        <w:adjustRightInd w:val="0"/>
        <w:spacing w:after="0" w:line="240" w:lineRule="auto"/>
        <w:jc w:val="both"/>
        <w:rPr>
          <w:sz w:val="24"/>
          <w:szCs w:val="24"/>
        </w:rPr>
      </w:pPr>
      <w:r>
        <w:rPr>
          <w:sz w:val="24"/>
          <w:szCs w:val="24"/>
        </w:rPr>
        <w:t>L</w:t>
      </w:r>
      <w:r w:rsidR="00871C23" w:rsidRPr="00854FC7">
        <w:rPr>
          <w:sz w:val="24"/>
          <w:szCs w:val="24"/>
        </w:rPr>
        <w:t>e niveau de la sensibilisation sur l</w:t>
      </w:r>
      <w:r>
        <w:rPr>
          <w:sz w:val="24"/>
          <w:szCs w:val="24"/>
        </w:rPr>
        <w:t>a prévention du paludisme est élevé.</w:t>
      </w:r>
    </w:p>
    <w:p w:rsidR="00854FC7" w:rsidRDefault="00854FC7" w:rsidP="00794F9C">
      <w:pPr>
        <w:pStyle w:val="ListParagraph"/>
        <w:numPr>
          <w:ilvl w:val="0"/>
          <w:numId w:val="22"/>
        </w:numPr>
        <w:autoSpaceDE w:val="0"/>
        <w:autoSpaceDN w:val="0"/>
        <w:adjustRightInd w:val="0"/>
        <w:spacing w:after="0" w:line="240" w:lineRule="auto"/>
        <w:jc w:val="both"/>
        <w:rPr>
          <w:sz w:val="24"/>
          <w:szCs w:val="24"/>
        </w:rPr>
      </w:pPr>
      <w:r>
        <w:rPr>
          <w:sz w:val="24"/>
          <w:szCs w:val="24"/>
        </w:rPr>
        <w:t xml:space="preserve">Les acteurs WASH sont priés de se rapprocher des acteurs de santé sur leur zone d’intervention pour confirmer la morbidité paludisme sur la zone et la priorité d’une intervention. </w:t>
      </w:r>
    </w:p>
    <w:p w:rsidR="00854FC7" w:rsidRDefault="00854FC7" w:rsidP="00794F9C">
      <w:pPr>
        <w:pStyle w:val="ListParagraph"/>
        <w:numPr>
          <w:ilvl w:val="0"/>
          <w:numId w:val="22"/>
        </w:numPr>
        <w:autoSpaceDE w:val="0"/>
        <w:autoSpaceDN w:val="0"/>
        <w:adjustRightInd w:val="0"/>
        <w:spacing w:after="0" w:line="240" w:lineRule="auto"/>
        <w:jc w:val="both"/>
        <w:rPr>
          <w:sz w:val="24"/>
          <w:szCs w:val="24"/>
        </w:rPr>
      </w:pPr>
      <w:r>
        <w:rPr>
          <w:sz w:val="24"/>
          <w:szCs w:val="24"/>
        </w:rPr>
        <w:t xml:space="preserve">Il est conseillé d’informer et vérifier auprès de la DRS concernée ou du cluster WASH, avant la distribution sur la pertinence de la zone ainsi que les interventions passées. Les acteurs de santé font également des distributions de moustiquaires, il est donc crucial </w:t>
      </w:r>
      <w:r>
        <w:rPr>
          <w:sz w:val="24"/>
          <w:szCs w:val="24"/>
        </w:rPr>
        <w:lastRenderedPageBreak/>
        <w:t xml:space="preserve">que chaque acteur WASH soit proactif au niveau de la coordination locale de façon à ne pas faire doublon. </w:t>
      </w:r>
    </w:p>
    <w:p w:rsidR="00854FC7" w:rsidRPr="00854FC7" w:rsidRDefault="00854FC7" w:rsidP="00854FC7">
      <w:pPr>
        <w:pStyle w:val="ListParagraph"/>
        <w:autoSpaceDE w:val="0"/>
        <w:autoSpaceDN w:val="0"/>
        <w:adjustRightInd w:val="0"/>
        <w:spacing w:after="0" w:line="240" w:lineRule="auto"/>
        <w:ind w:left="360" w:firstLine="0"/>
        <w:jc w:val="both"/>
        <w:rPr>
          <w:sz w:val="24"/>
          <w:szCs w:val="24"/>
        </w:rPr>
      </w:pPr>
    </w:p>
    <w:p w:rsidR="00121065" w:rsidRDefault="00121065" w:rsidP="00794F9C">
      <w:pPr>
        <w:pStyle w:val="ListParagraph"/>
        <w:numPr>
          <w:ilvl w:val="0"/>
          <w:numId w:val="22"/>
        </w:numPr>
        <w:rPr>
          <w:sz w:val="32"/>
        </w:rPr>
      </w:pPr>
      <w:r>
        <w:rPr>
          <w:sz w:val="32"/>
        </w:rPr>
        <w:t>Liste des partenaires clefs</w:t>
      </w:r>
    </w:p>
    <w:p w:rsidR="00B65843" w:rsidRPr="00B65843" w:rsidRDefault="00B65843" w:rsidP="00B65843">
      <w:pPr>
        <w:autoSpaceDE w:val="0"/>
        <w:autoSpaceDN w:val="0"/>
        <w:adjustRightInd w:val="0"/>
        <w:spacing w:before="0" w:after="0" w:line="240" w:lineRule="auto"/>
        <w:ind w:left="0" w:firstLine="0"/>
        <w:jc w:val="both"/>
        <w:rPr>
          <w:rFonts w:cstheme="minorHAnsi"/>
          <w:color w:val="000000"/>
          <w:szCs w:val="20"/>
        </w:rPr>
      </w:pPr>
      <w:r w:rsidRPr="00B65843">
        <w:rPr>
          <w:rFonts w:cstheme="minorHAnsi"/>
          <w:color w:val="000000"/>
          <w:szCs w:val="20"/>
        </w:rPr>
        <w:t xml:space="preserve">ACF, ACTED, ALIMA, ACTION MOPTI, AKF, CARE International, CN-CIEPA/EHA, Commission Européenne - DG Aide Humanitaire et Protection Civile (ECHO), Cellule de Planification Statistique/SEEUDE, Croix-Rouge Française, Croix-Rouge Malienne, </w:t>
      </w:r>
      <w:r>
        <w:rPr>
          <w:rFonts w:cstheme="minorHAnsi"/>
          <w:color w:val="000000"/>
          <w:szCs w:val="20"/>
        </w:rPr>
        <w:t>DNH, DNACPN, DNS/</w:t>
      </w:r>
      <w:r w:rsidRPr="00B65843">
        <w:rPr>
          <w:rFonts w:cstheme="minorHAnsi"/>
          <w:color w:val="000000"/>
          <w:szCs w:val="20"/>
        </w:rPr>
        <w:t>DHPS, Direction Gé</w:t>
      </w:r>
      <w:r>
        <w:rPr>
          <w:rFonts w:cstheme="minorHAnsi"/>
          <w:color w:val="000000"/>
          <w:szCs w:val="20"/>
        </w:rPr>
        <w:t>nérale de la Protection Civile</w:t>
      </w:r>
      <w:r w:rsidRPr="00B65843">
        <w:rPr>
          <w:rFonts w:cstheme="minorHAnsi"/>
          <w:color w:val="000000"/>
          <w:szCs w:val="20"/>
        </w:rPr>
        <w:t xml:space="preserve">, Eau Vive, FAO, FONGIM, GWP West </w:t>
      </w:r>
      <w:proofErr w:type="spellStart"/>
      <w:r w:rsidRPr="00B65843">
        <w:rPr>
          <w:rFonts w:cstheme="minorHAnsi"/>
          <w:color w:val="000000"/>
          <w:szCs w:val="20"/>
        </w:rPr>
        <w:t>Africa</w:t>
      </w:r>
      <w:proofErr w:type="spellEnd"/>
      <w:r w:rsidRPr="00B65843">
        <w:rPr>
          <w:rFonts w:cstheme="minorHAnsi"/>
          <w:color w:val="000000"/>
          <w:szCs w:val="20"/>
        </w:rPr>
        <w:t xml:space="preserve">, Handicap International Mali, HELVETAS, IRC - International </w:t>
      </w:r>
      <w:proofErr w:type="spellStart"/>
      <w:r w:rsidRPr="00B65843">
        <w:rPr>
          <w:rFonts w:cstheme="minorHAnsi"/>
          <w:color w:val="000000"/>
          <w:szCs w:val="20"/>
        </w:rPr>
        <w:t>Rescue</w:t>
      </w:r>
      <w:proofErr w:type="spellEnd"/>
      <w:r w:rsidRPr="00B65843">
        <w:rPr>
          <w:rFonts w:cstheme="minorHAnsi"/>
          <w:color w:val="000000"/>
          <w:szCs w:val="20"/>
        </w:rPr>
        <w:t xml:space="preserve"> </w:t>
      </w:r>
      <w:proofErr w:type="spellStart"/>
      <w:r w:rsidRPr="00B65843">
        <w:rPr>
          <w:rFonts w:cstheme="minorHAnsi"/>
          <w:color w:val="000000"/>
          <w:szCs w:val="20"/>
        </w:rPr>
        <w:t>Committee</w:t>
      </w:r>
      <w:proofErr w:type="spellEnd"/>
      <w:r w:rsidRPr="00B65843">
        <w:rPr>
          <w:rFonts w:cstheme="minorHAnsi"/>
          <w:color w:val="000000"/>
          <w:szCs w:val="20"/>
        </w:rPr>
        <w:t xml:space="preserve">, ISLAMIC RELIEF, KFW, LUX-DEVELOPMENT, Mercy Corps, OCHA, OIM, OMS, ONG JIGI, OXFAM, PAM, PIDRN PLAN MALI, PROTOS, Right To Play Mali, Save the </w:t>
      </w:r>
      <w:proofErr w:type="spellStart"/>
      <w:r w:rsidRPr="00B65843">
        <w:rPr>
          <w:rFonts w:cstheme="minorHAnsi"/>
          <w:color w:val="000000"/>
          <w:szCs w:val="20"/>
        </w:rPr>
        <w:t>Children</w:t>
      </w:r>
      <w:proofErr w:type="spellEnd"/>
      <w:r w:rsidRPr="00B65843">
        <w:rPr>
          <w:rFonts w:cstheme="minorHAnsi"/>
          <w:color w:val="000000"/>
          <w:szCs w:val="20"/>
        </w:rPr>
        <w:t xml:space="preserve">, SAVE THE CHILDREN US, SNV MALI, SOLIDARITES INTERNATIONAL, UNESCO, HCR, UNICEF, USAID, WATERAID, World Vision </w:t>
      </w:r>
    </w:p>
    <w:p w:rsidR="005B4C32" w:rsidRDefault="00121065" w:rsidP="00794F9C">
      <w:pPr>
        <w:pStyle w:val="ListParagraph"/>
        <w:numPr>
          <w:ilvl w:val="0"/>
          <w:numId w:val="22"/>
        </w:numPr>
        <w:rPr>
          <w:sz w:val="32"/>
        </w:rPr>
      </w:pPr>
      <w:r>
        <w:rPr>
          <w:sz w:val="32"/>
        </w:rPr>
        <w:t>Indicateurs</w:t>
      </w:r>
      <w:r w:rsidR="00584D19">
        <w:rPr>
          <w:sz w:val="32"/>
        </w:rPr>
        <w:t xml:space="preserve"> de résultats</w:t>
      </w:r>
      <w:r>
        <w:rPr>
          <w:sz w:val="32"/>
        </w:rPr>
        <w:t xml:space="preserve"> </w:t>
      </w:r>
    </w:p>
    <w:p w:rsidR="00B65843" w:rsidRDefault="00B65843" w:rsidP="00B65843">
      <w:pPr>
        <w:spacing w:before="100" w:beforeAutospacing="1" w:after="100" w:afterAutospacing="1" w:line="240" w:lineRule="auto"/>
        <w:ind w:left="0" w:firstLine="0"/>
        <w:rPr>
          <w:rFonts w:eastAsia="Times New Roman"/>
          <w:szCs w:val="20"/>
        </w:rPr>
      </w:pPr>
      <w:r w:rsidRPr="00B65843">
        <w:rPr>
          <w:rFonts w:eastAsia="Times New Roman"/>
          <w:szCs w:val="20"/>
        </w:rPr>
        <w:t>Les indicateurs de résultats sont :</w:t>
      </w:r>
    </w:p>
    <w:p w:rsidR="00B65843" w:rsidRPr="00B65843" w:rsidRDefault="00B65843" w:rsidP="00794F9C">
      <w:pPr>
        <w:pStyle w:val="ListParagraph"/>
        <w:numPr>
          <w:ilvl w:val="0"/>
          <w:numId w:val="17"/>
        </w:numPr>
        <w:spacing w:before="100" w:beforeAutospacing="1" w:after="100" w:afterAutospacing="1" w:line="240" w:lineRule="auto"/>
        <w:ind w:firstLine="0"/>
        <w:jc w:val="both"/>
        <w:rPr>
          <w:rFonts w:eastAsia="Times New Roman"/>
        </w:rPr>
      </w:pPr>
      <w:r w:rsidRPr="00B65843">
        <w:rPr>
          <w:rFonts w:eastAsia="Times New Roman"/>
          <w:szCs w:val="20"/>
        </w:rPr>
        <w:t>Nombre de centres nutritionnels délivrant le paquet minimum WASH (eau potable avec chlore résiduel, lavage et désinfection des mains et des ustensiles de cuisine, toilettes hygiéniques</w:t>
      </w:r>
      <w:r>
        <w:rPr>
          <w:rFonts w:eastAsia="Times New Roman"/>
          <w:szCs w:val="20"/>
        </w:rPr>
        <w:t xml:space="preserve"> et améliorées</w:t>
      </w:r>
      <w:r w:rsidRPr="00B65843">
        <w:rPr>
          <w:rFonts w:eastAsia="Times New Roman"/>
          <w:szCs w:val="20"/>
        </w:rPr>
        <w:t>) ;</w:t>
      </w:r>
    </w:p>
    <w:p w:rsidR="00B65843" w:rsidRDefault="00B65843" w:rsidP="00794F9C">
      <w:pPr>
        <w:pStyle w:val="ListParagraph"/>
        <w:numPr>
          <w:ilvl w:val="0"/>
          <w:numId w:val="17"/>
        </w:numPr>
        <w:spacing w:before="100" w:beforeAutospacing="1" w:after="100" w:afterAutospacing="1" w:line="240" w:lineRule="auto"/>
        <w:ind w:firstLine="0"/>
        <w:jc w:val="both"/>
        <w:rPr>
          <w:rFonts w:eastAsia="Times New Roman"/>
          <w:szCs w:val="20"/>
        </w:rPr>
      </w:pPr>
      <w:r>
        <w:rPr>
          <w:rFonts w:eastAsia="Times New Roman"/>
          <w:szCs w:val="20"/>
        </w:rPr>
        <w:t xml:space="preserve">Nombre de la population affectée ayant accès au paquet minimum WASH (accès à l’eau potable en quantité suffisante, aux produits d’hygiène et sensibilisée aux messages clefs) ; </w:t>
      </w:r>
    </w:p>
    <w:p w:rsidR="00F72D3D" w:rsidRPr="00B65843" w:rsidRDefault="00F72D3D" w:rsidP="00794F9C">
      <w:pPr>
        <w:pStyle w:val="ListParagraph"/>
        <w:numPr>
          <w:ilvl w:val="0"/>
          <w:numId w:val="17"/>
        </w:numPr>
        <w:spacing w:before="100" w:beforeAutospacing="1" w:after="100" w:afterAutospacing="1" w:line="240" w:lineRule="auto"/>
        <w:ind w:firstLine="0"/>
        <w:jc w:val="both"/>
        <w:rPr>
          <w:rFonts w:eastAsia="Times New Roman"/>
        </w:rPr>
      </w:pPr>
      <w:r w:rsidRPr="00B65843">
        <w:rPr>
          <w:rFonts w:eastAsia="Times New Roman"/>
          <w:szCs w:val="20"/>
        </w:rPr>
        <w:t xml:space="preserve">Nombre de centres </w:t>
      </w:r>
      <w:r>
        <w:rPr>
          <w:rFonts w:eastAsia="Times New Roman"/>
          <w:szCs w:val="20"/>
        </w:rPr>
        <w:t xml:space="preserve">de santé </w:t>
      </w:r>
      <w:r w:rsidRPr="00B65843">
        <w:rPr>
          <w:rFonts w:eastAsia="Times New Roman"/>
          <w:szCs w:val="20"/>
        </w:rPr>
        <w:t>délivrant le paquet minimum WASH (eau potable avec chlore résiduel, lavage et désinfection des mains, toilettes hygiéniques</w:t>
      </w:r>
      <w:r>
        <w:rPr>
          <w:rFonts w:eastAsia="Times New Roman"/>
          <w:szCs w:val="20"/>
        </w:rPr>
        <w:t xml:space="preserve"> et améliorées</w:t>
      </w:r>
      <w:r w:rsidRPr="00B65843">
        <w:rPr>
          <w:rFonts w:eastAsia="Times New Roman"/>
          <w:szCs w:val="20"/>
        </w:rPr>
        <w:t>) ;</w:t>
      </w:r>
    </w:p>
    <w:p w:rsidR="00F72D3D" w:rsidRPr="004E1BCA" w:rsidRDefault="00F72D3D" w:rsidP="00794F9C">
      <w:pPr>
        <w:pStyle w:val="ListParagraph"/>
        <w:numPr>
          <w:ilvl w:val="0"/>
          <w:numId w:val="17"/>
        </w:numPr>
        <w:spacing w:before="100" w:beforeAutospacing="1" w:after="100" w:afterAutospacing="1" w:line="240" w:lineRule="auto"/>
        <w:ind w:firstLine="0"/>
        <w:jc w:val="both"/>
        <w:rPr>
          <w:rFonts w:eastAsia="Times New Roman"/>
        </w:rPr>
      </w:pPr>
      <w:r w:rsidRPr="00B65843">
        <w:rPr>
          <w:rFonts w:eastAsia="Times New Roman"/>
          <w:szCs w:val="20"/>
        </w:rPr>
        <w:t xml:space="preserve">Nombre </w:t>
      </w:r>
      <w:r>
        <w:rPr>
          <w:rFonts w:eastAsia="Times New Roman"/>
          <w:szCs w:val="20"/>
        </w:rPr>
        <w:t xml:space="preserve">d’écoles </w:t>
      </w:r>
      <w:r w:rsidRPr="00B65843">
        <w:rPr>
          <w:rFonts w:eastAsia="Times New Roman"/>
          <w:szCs w:val="20"/>
        </w:rPr>
        <w:t xml:space="preserve">délivrant le paquet minimum WASH (eau potable avec chlore résiduel, </w:t>
      </w:r>
      <w:r>
        <w:rPr>
          <w:rFonts w:eastAsia="Times New Roman"/>
          <w:szCs w:val="20"/>
        </w:rPr>
        <w:t xml:space="preserve">unité de </w:t>
      </w:r>
      <w:r w:rsidRPr="00B65843">
        <w:rPr>
          <w:rFonts w:eastAsia="Times New Roman"/>
          <w:szCs w:val="20"/>
        </w:rPr>
        <w:t>lavage des mains</w:t>
      </w:r>
      <w:r>
        <w:rPr>
          <w:rFonts w:eastAsia="Times New Roman"/>
          <w:szCs w:val="20"/>
        </w:rPr>
        <w:t xml:space="preserve"> en sortie des toilettes, disponibilité du savon pour le lavage des mains</w:t>
      </w:r>
      <w:r w:rsidRPr="00B65843">
        <w:rPr>
          <w:rFonts w:eastAsia="Times New Roman"/>
          <w:szCs w:val="20"/>
        </w:rPr>
        <w:t>, toilettes hygiéniques</w:t>
      </w:r>
      <w:r>
        <w:rPr>
          <w:rFonts w:eastAsia="Times New Roman"/>
          <w:szCs w:val="20"/>
        </w:rPr>
        <w:t xml:space="preserve"> et améliorées, sensibilisation aux messages clefs</w:t>
      </w:r>
      <w:r w:rsidRPr="00B65843">
        <w:rPr>
          <w:rFonts w:eastAsia="Times New Roman"/>
          <w:szCs w:val="20"/>
        </w:rPr>
        <w:t>) ;</w:t>
      </w:r>
    </w:p>
    <w:p w:rsidR="004E1BCA" w:rsidRPr="004E1BCA" w:rsidRDefault="004E1BCA" w:rsidP="00794F9C">
      <w:pPr>
        <w:pStyle w:val="ListParagraph"/>
        <w:numPr>
          <w:ilvl w:val="0"/>
          <w:numId w:val="17"/>
        </w:numPr>
        <w:spacing w:before="100" w:beforeAutospacing="1" w:after="100" w:afterAutospacing="1" w:line="240" w:lineRule="auto"/>
        <w:ind w:firstLine="0"/>
        <w:jc w:val="both"/>
        <w:rPr>
          <w:rFonts w:eastAsia="Times New Roman"/>
          <w:szCs w:val="20"/>
        </w:rPr>
      </w:pPr>
      <w:r>
        <w:rPr>
          <w:rFonts w:eastAsia="Times New Roman"/>
          <w:szCs w:val="20"/>
        </w:rPr>
        <w:t>Le taux d’</w:t>
      </w:r>
      <w:r w:rsidRPr="004E1BCA">
        <w:rPr>
          <w:rFonts w:eastAsia="Times New Roman"/>
          <w:szCs w:val="20"/>
        </w:rPr>
        <w:t xml:space="preserve">attaque des maladies épidémiques type choléra et paludisme est au </w:t>
      </w:r>
      <w:r>
        <w:rPr>
          <w:rFonts w:eastAsia="Times New Roman"/>
          <w:szCs w:val="20"/>
        </w:rPr>
        <w:t>plus</w:t>
      </w:r>
      <w:r w:rsidRPr="004E1BCA">
        <w:rPr>
          <w:rFonts w:eastAsia="Times New Roman"/>
          <w:szCs w:val="20"/>
        </w:rPr>
        <w:t xml:space="preserve"> similaire aux années précédentes. </w:t>
      </w:r>
    </w:p>
    <w:p w:rsidR="004E1BCA" w:rsidRPr="00B65843" w:rsidRDefault="004E1BCA" w:rsidP="004E1BCA">
      <w:pPr>
        <w:pStyle w:val="ListParagraph"/>
        <w:spacing w:before="100" w:beforeAutospacing="1" w:after="100" w:afterAutospacing="1" w:line="240" w:lineRule="auto"/>
        <w:ind w:left="360" w:firstLine="0"/>
        <w:jc w:val="both"/>
        <w:rPr>
          <w:rFonts w:eastAsia="Times New Roman"/>
        </w:rPr>
      </w:pPr>
    </w:p>
    <w:p w:rsidR="00B65843" w:rsidRPr="00B65843" w:rsidRDefault="00B65843" w:rsidP="00B65843">
      <w:pPr>
        <w:pStyle w:val="ListParagraph"/>
        <w:spacing w:before="100" w:beforeAutospacing="1" w:after="100" w:afterAutospacing="1" w:line="240" w:lineRule="auto"/>
        <w:ind w:left="360" w:firstLine="0"/>
        <w:jc w:val="both"/>
        <w:rPr>
          <w:rFonts w:eastAsia="Times New Roman"/>
          <w:szCs w:val="20"/>
        </w:rPr>
      </w:pPr>
    </w:p>
    <w:p w:rsidR="00121065" w:rsidRDefault="00121065" w:rsidP="00794F9C">
      <w:pPr>
        <w:pStyle w:val="ListParagraph"/>
        <w:numPr>
          <w:ilvl w:val="0"/>
          <w:numId w:val="22"/>
        </w:numPr>
        <w:rPr>
          <w:sz w:val="32"/>
        </w:rPr>
      </w:pPr>
      <w:r>
        <w:rPr>
          <w:sz w:val="32"/>
        </w:rPr>
        <w:t>Lien du cluster WASH avec les autres clusters</w:t>
      </w:r>
    </w:p>
    <w:p w:rsidR="008228CF" w:rsidRDefault="008228CF" w:rsidP="00794F9C">
      <w:pPr>
        <w:pStyle w:val="ListParagraph"/>
        <w:numPr>
          <w:ilvl w:val="0"/>
          <w:numId w:val="8"/>
        </w:numPr>
        <w:autoSpaceDE w:val="0"/>
        <w:autoSpaceDN w:val="0"/>
        <w:adjustRightInd w:val="0"/>
        <w:spacing w:before="0" w:after="162" w:line="240" w:lineRule="auto"/>
        <w:jc w:val="both"/>
        <w:rPr>
          <w:rFonts w:cstheme="minorHAnsi"/>
        </w:rPr>
      </w:pPr>
      <w:r w:rsidRPr="005C3DFD">
        <w:rPr>
          <w:rFonts w:cstheme="minorHAnsi"/>
        </w:rPr>
        <w:t xml:space="preserve">Avec le Cluster Nutrition: la coordination des partenaires EHA avec les partenaires nutrition devra être forte et dynamique. Les activités EHA sont en appui de la réponse nutritionnelle en définissant un paquet minimum « EHA » fonctionnel pour tous, en ciblant: </w:t>
      </w:r>
    </w:p>
    <w:p w:rsidR="008228CF" w:rsidRPr="005C3DFD" w:rsidRDefault="008228CF" w:rsidP="00794F9C">
      <w:pPr>
        <w:pStyle w:val="ListParagraph"/>
        <w:numPr>
          <w:ilvl w:val="1"/>
          <w:numId w:val="15"/>
        </w:numPr>
        <w:autoSpaceDE w:val="0"/>
        <w:autoSpaceDN w:val="0"/>
        <w:adjustRightInd w:val="0"/>
        <w:spacing w:before="0" w:after="162" w:line="240" w:lineRule="auto"/>
        <w:jc w:val="both"/>
        <w:rPr>
          <w:rFonts w:cstheme="minorHAnsi"/>
        </w:rPr>
      </w:pPr>
      <w:r w:rsidRPr="005C3DFD">
        <w:rPr>
          <w:rFonts w:asciiTheme="minorHAnsi" w:hAnsiTheme="minorHAnsi" w:cstheme="minorHAnsi"/>
        </w:rPr>
        <w:t xml:space="preserve">Les URENI ou URENAS. </w:t>
      </w:r>
    </w:p>
    <w:p w:rsidR="008228CF" w:rsidRPr="005C3DFD" w:rsidRDefault="008228CF" w:rsidP="00794F9C">
      <w:pPr>
        <w:pStyle w:val="ListParagraph"/>
        <w:numPr>
          <w:ilvl w:val="1"/>
          <w:numId w:val="15"/>
        </w:numPr>
        <w:autoSpaceDE w:val="0"/>
        <w:autoSpaceDN w:val="0"/>
        <w:adjustRightInd w:val="0"/>
        <w:spacing w:before="0" w:after="162" w:line="240" w:lineRule="auto"/>
        <w:jc w:val="both"/>
        <w:rPr>
          <w:rFonts w:cstheme="minorHAnsi"/>
        </w:rPr>
      </w:pPr>
      <w:r w:rsidRPr="005C3DFD">
        <w:rPr>
          <w:rFonts w:asciiTheme="minorHAnsi" w:hAnsiTheme="minorHAnsi" w:cstheme="minorHAnsi"/>
        </w:rPr>
        <w:t xml:space="preserve">Le couple mère/accompagnant – enfant sévèrement malnutri à domicile. </w:t>
      </w:r>
    </w:p>
    <w:p w:rsidR="008228CF" w:rsidRPr="005C3DFD" w:rsidRDefault="008228CF" w:rsidP="00794F9C">
      <w:pPr>
        <w:pStyle w:val="ListParagraph"/>
        <w:numPr>
          <w:ilvl w:val="0"/>
          <w:numId w:val="8"/>
        </w:numPr>
        <w:autoSpaceDE w:val="0"/>
        <w:autoSpaceDN w:val="0"/>
        <w:adjustRightInd w:val="0"/>
        <w:spacing w:before="0" w:after="162" w:line="240" w:lineRule="auto"/>
        <w:jc w:val="both"/>
        <w:rPr>
          <w:rFonts w:cstheme="minorHAnsi"/>
        </w:rPr>
      </w:pPr>
      <w:r w:rsidRPr="005C3DFD">
        <w:rPr>
          <w:rFonts w:asciiTheme="minorHAnsi" w:hAnsiTheme="minorHAnsi" w:cstheme="minorHAnsi"/>
        </w:rPr>
        <w:t xml:space="preserve">Avec le Cluster Sécurité Alimentaire: la coordination avec les acteurs de sécurité alimentaire visera à identifier les zones d’interventions où les appuyer en termes d’accès à l’eau pour l’agriculture et le bétail. </w:t>
      </w:r>
    </w:p>
    <w:p w:rsidR="008228CF" w:rsidRPr="005C3DFD" w:rsidRDefault="008228CF" w:rsidP="00794F9C">
      <w:pPr>
        <w:pStyle w:val="ListParagraph"/>
        <w:numPr>
          <w:ilvl w:val="0"/>
          <w:numId w:val="8"/>
        </w:numPr>
        <w:autoSpaceDE w:val="0"/>
        <w:autoSpaceDN w:val="0"/>
        <w:adjustRightInd w:val="0"/>
        <w:spacing w:before="0" w:after="162" w:line="240" w:lineRule="auto"/>
        <w:jc w:val="both"/>
        <w:rPr>
          <w:rFonts w:cstheme="minorHAnsi"/>
        </w:rPr>
      </w:pPr>
      <w:r w:rsidRPr="005C3DFD">
        <w:rPr>
          <w:rFonts w:asciiTheme="minorHAnsi" w:hAnsiTheme="minorHAnsi" w:cstheme="minorHAnsi"/>
        </w:rPr>
        <w:t xml:space="preserve">Avec le Cluster Santé: l’étroite collaboration avec les acteurs santé est essentielle. Les partenaires EHA ont besoin de cibler leurs activités en fonction des données médicales. Les actions veilleront à: </w:t>
      </w:r>
    </w:p>
    <w:p w:rsidR="008228CF" w:rsidRPr="005C3DFD" w:rsidRDefault="008228CF" w:rsidP="00794F9C">
      <w:pPr>
        <w:pStyle w:val="ListParagraph"/>
        <w:numPr>
          <w:ilvl w:val="1"/>
          <w:numId w:val="14"/>
        </w:numPr>
        <w:autoSpaceDE w:val="0"/>
        <w:autoSpaceDN w:val="0"/>
        <w:adjustRightInd w:val="0"/>
        <w:spacing w:before="0" w:after="162" w:line="240" w:lineRule="auto"/>
        <w:jc w:val="both"/>
        <w:rPr>
          <w:rFonts w:cstheme="minorHAnsi"/>
        </w:rPr>
      </w:pPr>
      <w:r w:rsidRPr="005C3DFD">
        <w:rPr>
          <w:rFonts w:asciiTheme="minorHAnsi" w:hAnsiTheme="minorHAnsi" w:cstheme="minorHAnsi"/>
        </w:rPr>
        <w:t xml:space="preserve">Mettre en place un partage des données épidémiologiques et définir un seuil d’alerte pour les épidémies (choléra, paludisme, diarrhées aiguës). </w:t>
      </w:r>
    </w:p>
    <w:p w:rsidR="008228CF" w:rsidRPr="005C3DFD" w:rsidRDefault="008228CF" w:rsidP="00794F9C">
      <w:pPr>
        <w:pStyle w:val="ListParagraph"/>
        <w:numPr>
          <w:ilvl w:val="1"/>
          <w:numId w:val="14"/>
        </w:numPr>
        <w:autoSpaceDE w:val="0"/>
        <w:autoSpaceDN w:val="0"/>
        <w:adjustRightInd w:val="0"/>
        <w:spacing w:before="0" w:after="162" w:line="240" w:lineRule="auto"/>
        <w:jc w:val="both"/>
        <w:rPr>
          <w:rFonts w:cstheme="minorHAnsi"/>
        </w:rPr>
      </w:pPr>
      <w:r w:rsidRPr="005C3DFD">
        <w:rPr>
          <w:rFonts w:asciiTheme="minorHAnsi" w:hAnsiTheme="minorHAnsi" w:cstheme="minorHAnsi"/>
        </w:rPr>
        <w:t xml:space="preserve">Appuyer les activités médicales dans les centres de santé fonctionnels en assurant le package minimal « EHA ». </w:t>
      </w:r>
    </w:p>
    <w:p w:rsidR="008228CF" w:rsidRPr="00B65843" w:rsidRDefault="008228CF" w:rsidP="00794F9C">
      <w:pPr>
        <w:pStyle w:val="ListParagraph"/>
        <w:numPr>
          <w:ilvl w:val="1"/>
          <w:numId w:val="14"/>
        </w:numPr>
        <w:autoSpaceDE w:val="0"/>
        <w:autoSpaceDN w:val="0"/>
        <w:adjustRightInd w:val="0"/>
        <w:spacing w:before="0" w:after="162" w:line="240" w:lineRule="auto"/>
        <w:jc w:val="both"/>
        <w:rPr>
          <w:rFonts w:cstheme="minorHAnsi"/>
        </w:rPr>
      </w:pPr>
      <w:r w:rsidRPr="005C3DFD">
        <w:rPr>
          <w:rFonts w:asciiTheme="minorHAnsi" w:hAnsiTheme="minorHAnsi" w:cstheme="minorHAnsi"/>
        </w:rPr>
        <w:lastRenderedPageBreak/>
        <w:t>Mise en place d’une force conjointe de type « Taskforce » (acteurs de santé, acteurs EHA) en cas d’épid</w:t>
      </w:r>
      <w:r w:rsidR="00584D19">
        <w:rPr>
          <w:rFonts w:asciiTheme="minorHAnsi" w:hAnsiTheme="minorHAnsi" w:cstheme="minorHAnsi"/>
        </w:rPr>
        <w:t>émie de choléra ou de paludisme pour coordonner les activités des partenaires.</w:t>
      </w:r>
      <w:r w:rsidRPr="005C3DFD">
        <w:rPr>
          <w:rFonts w:asciiTheme="minorHAnsi" w:hAnsiTheme="minorHAnsi" w:cstheme="minorHAnsi"/>
        </w:rPr>
        <w:t xml:space="preserve"> </w:t>
      </w:r>
    </w:p>
    <w:p w:rsidR="00B65843" w:rsidRPr="00B65843" w:rsidRDefault="00B65843" w:rsidP="00B65843">
      <w:pPr>
        <w:autoSpaceDE w:val="0"/>
        <w:autoSpaceDN w:val="0"/>
        <w:adjustRightInd w:val="0"/>
        <w:spacing w:before="0" w:after="162" w:line="240" w:lineRule="auto"/>
        <w:jc w:val="both"/>
        <w:rPr>
          <w:rFonts w:cstheme="minorHAnsi"/>
        </w:rPr>
      </w:pPr>
    </w:p>
    <w:p w:rsidR="00121065" w:rsidRDefault="00121065" w:rsidP="00794F9C">
      <w:pPr>
        <w:pStyle w:val="ListParagraph"/>
        <w:numPr>
          <w:ilvl w:val="0"/>
          <w:numId w:val="22"/>
        </w:numPr>
        <w:rPr>
          <w:sz w:val="32"/>
        </w:rPr>
      </w:pPr>
      <w:r>
        <w:rPr>
          <w:sz w:val="32"/>
        </w:rPr>
        <w:t xml:space="preserve">Questions transversales </w:t>
      </w:r>
    </w:p>
    <w:p w:rsidR="00121065" w:rsidRDefault="005B4C32" w:rsidP="00F72D3D">
      <w:r w:rsidRPr="00CF341A">
        <w:rPr>
          <w:highlight w:val="yellow"/>
        </w:rPr>
        <w:t>[</w:t>
      </w:r>
      <w:r w:rsidR="00F72D3D">
        <w:rPr>
          <w:highlight w:val="yellow"/>
        </w:rPr>
        <w:t>A compléter</w:t>
      </w:r>
      <w:r w:rsidRPr="00CF341A">
        <w:rPr>
          <w:highlight w:val="yellow"/>
        </w:rPr>
        <w:t>]</w:t>
      </w:r>
      <w:r w:rsidR="00F72D3D">
        <w:t xml:space="preserve"> : </w:t>
      </w:r>
      <w:proofErr w:type="spellStart"/>
      <w:r w:rsidR="00F72D3D">
        <w:t>checklist</w:t>
      </w:r>
      <w:proofErr w:type="spellEnd"/>
      <w:r w:rsidR="00F72D3D">
        <w:t xml:space="preserve"> protection WASH, genre, handicap</w:t>
      </w:r>
    </w:p>
    <w:p w:rsidR="00F72D3D" w:rsidRDefault="00F72D3D" w:rsidP="00F72D3D"/>
    <w:p w:rsidR="005B4C32" w:rsidRDefault="005B4C32" w:rsidP="00794F9C">
      <w:pPr>
        <w:pStyle w:val="ListParagraph"/>
        <w:numPr>
          <w:ilvl w:val="0"/>
          <w:numId w:val="22"/>
        </w:numPr>
        <w:rPr>
          <w:sz w:val="32"/>
        </w:rPr>
      </w:pPr>
      <w:r>
        <w:rPr>
          <w:sz w:val="32"/>
        </w:rPr>
        <w:t xml:space="preserve">Suivi et évaluation </w:t>
      </w:r>
    </w:p>
    <w:p w:rsidR="00F72D3D" w:rsidRDefault="00F72D3D" w:rsidP="00584D19">
      <w:pPr>
        <w:autoSpaceDE w:val="0"/>
        <w:autoSpaceDN w:val="0"/>
        <w:adjustRightInd w:val="0"/>
        <w:spacing w:before="0" w:after="159" w:line="240" w:lineRule="auto"/>
        <w:ind w:left="0" w:firstLine="0"/>
        <w:jc w:val="both"/>
      </w:pPr>
      <w:r w:rsidRPr="00CF341A">
        <w:rPr>
          <w:highlight w:val="yellow"/>
        </w:rPr>
        <w:t>[</w:t>
      </w:r>
      <w:r>
        <w:rPr>
          <w:highlight w:val="yellow"/>
        </w:rPr>
        <w:t>A compléter</w:t>
      </w:r>
      <w:r w:rsidRPr="00CF341A">
        <w:rPr>
          <w:highlight w:val="yellow"/>
        </w:rPr>
        <w:t>]</w:t>
      </w:r>
      <w:r>
        <w:t xml:space="preserve"> : </w:t>
      </w:r>
    </w:p>
    <w:p w:rsidR="008228CF" w:rsidRPr="00584D19" w:rsidRDefault="008228CF" w:rsidP="00584D19">
      <w:pPr>
        <w:autoSpaceDE w:val="0"/>
        <w:autoSpaceDN w:val="0"/>
        <w:adjustRightInd w:val="0"/>
        <w:spacing w:before="0" w:after="159" w:line="240" w:lineRule="auto"/>
        <w:ind w:left="0" w:firstLine="0"/>
        <w:jc w:val="both"/>
        <w:rPr>
          <w:rFonts w:cstheme="minorHAnsi"/>
        </w:rPr>
      </w:pPr>
      <w:r w:rsidRPr="00584D19">
        <w:rPr>
          <w:rFonts w:ascii="Arial" w:hAnsi="Arial" w:cstheme="minorHAnsi"/>
        </w:rPr>
        <w:t>■</w:t>
      </w:r>
      <w:r w:rsidRPr="00584D19">
        <w:rPr>
          <w:rFonts w:cstheme="minorHAnsi"/>
        </w:rPr>
        <w:t xml:space="preserve"> Développer une méthodologie commune afin d’optimiser le suivi et évaluation des programmes, notamment au nord, avec un accès limité et en partageant les expériences et leçons apprises dans la </w:t>
      </w:r>
      <w:proofErr w:type="gramStart"/>
      <w:r w:rsidRPr="00584D19">
        <w:rPr>
          <w:rFonts w:cstheme="minorHAnsi"/>
        </w:rPr>
        <w:t>gestion</w:t>
      </w:r>
      <w:proofErr w:type="gramEnd"/>
      <w:r w:rsidRPr="00584D19">
        <w:rPr>
          <w:rFonts w:cstheme="minorHAnsi"/>
        </w:rPr>
        <w:t xml:space="preserve"> à distance. </w:t>
      </w:r>
    </w:p>
    <w:p w:rsidR="008228CF" w:rsidRPr="00584D19" w:rsidRDefault="008228CF" w:rsidP="00584D19">
      <w:pPr>
        <w:autoSpaceDE w:val="0"/>
        <w:autoSpaceDN w:val="0"/>
        <w:adjustRightInd w:val="0"/>
        <w:spacing w:before="0" w:after="0" w:line="240" w:lineRule="auto"/>
        <w:ind w:left="0" w:firstLine="0"/>
        <w:jc w:val="both"/>
        <w:rPr>
          <w:rFonts w:cstheme="minorHAnsi"/>
        </w:rPr>
      </w:pPr>
    </w:p>
    <w:p w:rsidR="008228CF" w:rsidRPr="00584D19" w:rsidRDefault="008228CF" w:rsidP="00584D19">
      <w:pPr>
        <w:autoSpaceDE w:val="0"/>
        <w:autoSpaceDN w:val="0"/>
        <w:adjustRightInd w:val="0"/>
        <w:spacing w:before="0" w:after="0" w:line="240" w:lineRule="auto"/>
        <w:ind w:left="0" w:firstLine="0"/>
        <w:jc w:val="both"/>
        <w:rPr>
          <w:rFonts w:cstheme="minorHAnsi"/>
        </w:rPr>
      </w:pPr>
      <w:r w:rsidRPr="00584D19">
        <w:rPr>
          <w:rFonts w:ascii="Arial" w:hAnsi="Arial" w:cstheme="minorHAnsi"/>
        </w:rPr>
        <w:t>■</w:t>
      </w:r>
      <w:r w:rsidRPr="00584D19">
        <w:rPr>
          <w:rFonts w:cstheme="minorHAnsi"/>
        </w:rPr>
        <w:t xml:space="preserve"> Un système de suivi et de contrôle des réalisations effectuées dans le nord aussi bien qu’au sud, sera mis en place, en prenant en compte l’accès limité: </w:t>
      </w:r>
    </w:p>
    <w:p w:rsidR="008228CF" w:rsidRPr="00584D19" w:rsidRDefault="008228CF" w:rsidP="00584D19">
      <w:pPr>
        <w:autoSpaceDE w:val="0"/>
        <w:autoSpaceDN w:val="0"/>
        <w:adjustRightInd w:val="0"/>
        <w:spacing w:before="0" w:after="258" w:line="240" w:lineRule="auto"/>
        <w:ind w:left="0" w:firstLine="0"/>
        <w:jc w:val="both"/>
        <w:rPr>
          <w:rFonts w:cstheme="minorHAnsi"/>
        </w:rPr>
      </w:pPr>
      <w:r w:rsidRPr="00584D19">
        <w:rPr>
          <w:rFonts w:cstheme="minorHAnsi"/>
        </w:rPr>
        <w:t xml:space="preserve">Contrôle à vérifications multiples: </w:t>
      </w:r>
    </w:p>
    <w:p w:rsidR="008228CF" w:rsidRPr="00584D19" w:rsidRDefault="008228CF" w:rsidP="00794F9C">
      <w:pPr>
        <w:pStyle w:val="ListParagraph"/>
        <w:numPr>
          <w:ilvl w:val="0"/>
          <w:numId w:val="16"/>
        </w:numPr>
        <w:autoSpaceDE w:val="0"/>
        <w:autoSpaceDN w:val="0"/>
        <w:adjustRightInd w:val="0"/>
        <w:spacing w:before="0" w:after="258" w:line="240" w:lineRule="auto"/>
        <w:jc w:val="both"/>
        <w:rPr>
          <w:rFonts w:asciiTheme="minorHAnsi" w:hAnsiTheme="minorHAnsi" w:cstheme="minorHAnsi"/>
        </w:rPr>
      </w:pPr>
      <w:r w:rsidRPr="00584D19">
        <w:rPr>
          <w:rFonts w:asciiTheme="minorHAnsi" w:hAnsiTheme="minorHAnsi" w:cstheme="minorHAnsi"/>
        </w:rPr>
        <w:t xml:space="preserve">Entreprises après réalisation des travaux, </w:t>
      </w:r>
    </w:p>
    <w:p w:rsidR="008228CF" w:rsidRPr="00584D19" w:rsidRDefault="008228CF" w:rsidP="00794F9C">
      <w:pPr>
        <w:pStyle w:val="ListParagraph"/>
        <w:numPr>
          <w:ilvl w:val="0"/>
          <w:numId w:val="16"/>
        </w:numPr>
        <w:autoSpaceDE w:val="0"/>
        <w:autoSpaceDN w:val="0"/>
        <w:adjustRightInd w:val="0"/>
        <w:spacing w:before="0" w:after="258" w:line="240" w:lineRule="auto"/>
        <w:jc w:val="both"/>
        <w:rPr>
          <w:rFonts w:asciiTheme="minorHAnsi" w:hAnsiTheme="minorHAnsi" w:cstheme="minorHAnsi"/>
        </w:rPr>
      </w:pPr>
      <w:r w:rsidRPr="00584D19">
        <w:rPr>
          <w:rFonts w:asciiTheme="minorHAnsi" w:hAnsiTheme="minorHAnsi" w:cstheme="minorHAnsi"/>
        </w:rPr>
        <w:t xml:space="preserve">Communauté locale: satisfaction des communautés, </w:t>
      </w:r>
    </w:p>
    <w:p w:rsidR="008228CF" w:rsidRPr="00584D19" w:rsidRDefault="008228CF" w:rsidP="00794F9C">
      <w:pPr>
        <w:pStyle w:val="ListParagraph"/>
        <w:numPr>
          <w:ilvl w:val="0"/>
          <w:numId w:val="16"/>
        </w:numPr>
        <w:autoSpaceDE w:val="0"/>
        <w:autoSpaceDN w:val="0"/>
        <w:adjustRightInd w:val="0"/>
        <w:spacing w:before="0" w:after="258" w:line="240" w:lineRule="auto"/>
        <w:jc w:val="both"/>
        <w:rPr>
          <w:rFonts w:asciiTheme="minorHAnsi" w:hAnsiTheme="minorHAnsi" w:cstheme="minorHAnsi"/>
        </w:rPr>
      </w:pPr>
      <w:r w:rsidRPr="00584D19">
        <w:rPr>
          <w:rFonts w:asciiTheme="minorHAnsi" w:hAnsiTheme="minorHAnsi" w:cstheme="minorHAnsi"/>
        </w:rPr>
        <w:t xml:space="preserve">ONG locale/bureau d’étude, </w:t>
      </w:r>
    </w:p>
    <w:p w:rsidR="008228CF" w:rsidRPr="00584D19" w:rsidRDefault="008228CF" w:rsidP="00794F9C">
      <w:pPr>
        <w:pStyle w:val="ListParagraph"/>
        <w:numPr>
          <w:ilvl w:val="0"/>
          <w:numId w:val="16"/>
        </w:numPr>
        <w:autoSpaceDE w:val="0"/>
        <w:autoSpaceDN w:val="0"/>
        <w:adjustRightInd w:val="0"/>
        <w:spacing w:before="0" w:after="258" w:line="240" w:lineRule="auto"/>
        <w:jc w:val="both"/>
        <w:rPr>
          <w:rFonts w:asciiTheme="minorHAnsi" w:hAnsiTheme="minorHAnsi" w:cstheme="minorHAnsi"/>
        </w:rPr>
      </w:pPr>
      <w:r w:rsidRPr="00584D19">
        <w:rPr>
          <w:rFonts w:asciiTheme="minorHAnsi" w:hAnsiTheme="minorHAnsi" w:cstheme="minorHAnsi"/>
        </w:rPr>
        <w:t xml:space="preserve">Visite rapide sur place pour les acteurs lorsque les conditions d’accès le permettent. </w:t>
      </w:r>
    </w:p>
    <w:p w:rsidR="005B4C32" w:rsidRDefault="008228CF" w:rsidP="00794F9C">
      <w:pPr>
        <w:pStyle w:val="ListParagraph"/>
        <w:numPr>
          <w:ilvl w:val="0"/>
          <w:numId w:val="16"/>
        </w:numPr>
        <w:autoSpaceDE w:val="0"/>
        <w:autoSpaceDN w:val="0"/>
        <w:adjustRightInd w:val="0"/>
        <w:spacing w:before="0" w:after="0" w:line="240" w:lineRule="auto"/>
        <w:jc w:val="both"/>
        <w:rPr>
          <w:rFonts w:asciiTheme="minorHAnsi" w:hAnsiTheme="minorHAnsi" w:cstheme="minorHAnsi"/>
        </w:rPr>
      </w:pPr>
      <w:r w:rsidRPr="00584D19">
        <w:rPr>
          <w:rFonts w:asciiTheme="minorHAnsi" w:hAnsiTheme="minorHAnsi" w:cstheme="minorHAnsi"/>
        </w:rPr>
        <w:t>Utilisations d’outils: GPS, photos, fiches de suivi de chantier (</w:t>
      </w:r>
      <w:proofErr w:type="spellStart"/>
      <w:r w:rsidRPr="00584D19">
        <w:rPr>
          <w:rFonts w:asciiTheme="minorHAnsi" w:hAnsiTheme="minorHAnsi" w:cstheme="minorHAnsi"/>
        </w:rPr>
        <w:t>checklist</w:t>
      </w:r>
      <w:proofErr w:type="spellEnd"/>
      <w:r w:rsidRPr="00584D19">
        <w:rPr>
          <w:rFonts w:asciiTheme="minorHAnsi" w:hAnsiTheme="minorHAnsi" w:cstheme="minorHAnsi"/>
        </w:rPr>
        <w:t xml:space="preserve"> contresigné par plusieurs personnalités de la communauté – chef de quartier). </w:t>
      </w:r>
    </w:p>
    <w:p w:rsidR="00B65843" w:rsidRPr="00B65843" w:rsidRDefault="00B65843" w:rsidP="00B65843">
      <w:pPr>
        <w:pStyle w:val="ListParagraph"/>
        <w:autoSpaceDE w:val="0"/>
        <w:autoSpaceDN w:val="0"/>
        <w:adjustRightInd w:val="0"/>
        <w:spacing w:before="0" w:after="0" w:line="240" w:lineRule="auto"/>
        <w:ind w:left="360" w:firstLine="0"/>
        <w:jc w:val="both"/>
        <w:rPr>
          <w:rFonts w:asciiTheme="minorHAnsi" w:hAnsiTheme="minorHAnsi" w:cstheme="minorHAnsi"/>
        </w:rPr>
      </w:pPr>
    </w:p>
    <w:p w:rsidR="00121065" w:rsidRDefault="005B4C32" w:rsidP="00794F9C">
      <w:pPr>
        <w:pStyle w:val="ListParagraph"/>
        <w:numPr>
          <w:ilvl w:val="0"/>
          <w:numId w:val="22"/>
        </w:numPr>
        <w:rPr>
          <w:sz w:val="32"/>
        </w:rPr>
      </w:pPr>
      <w:r>
        <w:rPr>
          <w:sz w:val="32"/>
        </w:rPr>
        <w:t>Stratégie de sortie du cluster</w:t>
      </w:r>
    </w:p>
    <w:p w:rsidR="00121065" w:rsidRPr="00121065" w:rsidRDefault="00121065" w:rsidP="00121065">
      <w:pPr>
        <w:rPr>
          <w:sz w:val="32"/>
        </w:rPr>
      </w:pPr>
    </w:p>
    <w:p w:rsidR="005B4C32" w:rsidRDefault="005B4C32" w:rsidP="00794F9C">
      <w:pPr>
        <w:pStyle w:val="ListParagraph"/>
        <w:numPr>
          <w:ilvl w:val="0"/>
          <w:numId w:val="22"/>
        </w:numPr>
        <w:rPr>
          <w:sz w:val="32"/>
        </w:rPr>
      </w:pPr>
      <w:r>
        <w:rPr>
          <w:sz w:val="32"/>
        </w:rPr>
        <w:t>Liste de définitions</w:t>
      </w:r>
    </w:p>
    <w:p w:rsidR="005B4C32" w:rsidRPr="005B4C32" w:rsidRDefault="005B4C32" w:rsidP="005B4C32">
      <w:pPr>
        <w:rPr>
          <w:sz w:val="32"/>
        </w:rPr>
      </w:pPr>
    </w:p>
    <w:p w:rsidR="00121065" w:rsidRPr="00121065" w:rsidRDefault="00121065" w:rsidP="00794F9C">
      <w:pPr>
        <w:pStyle w:val="ListParagraph"/>
        <w:numPr>
          <w:ilvl w:val="0"/>
          <w:numId w:val="22"/>
        </w:numPr>
        <w:rPr>
          <w:sz w:val="32"/>
        </w:rPr>
      </w:pPr>
      <w:r>
        <w:rPr>
          <w:sz w:val="32"/>
        </w:rPr>
        <w:t>Annexes</w:t>
      </w:r>
    </w:p>
    <w:p w:rsidR="00304B8B" w:rsidRDefault="00304B8B"/>
    <w:p w:rsidR="00304B8B" w:rsidRDefault="00304B8B"/>
    <w:p w:rsidR="00304B8B" w:rsidRDefault="00304B8B"/>
    <w:sectPr w:rsidR="00304B8B" w:rsidSect="00F15C1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F9C" w:rsidRDefault="00794F9C" w:rsidP="00F72D3D">
      <w:pPr>
        <w:spacing w:before="0" w:after="0" w:line="240" w:lineRule="auto"/>
      </w:pPr>
      <w:r>
        <w:separator/>
      </w:r>
    </w:p>
  </w:endnote>
  <w:endnote w:type="continuationSeparator" w:id="0">
    <w:p w:rsidR="00794F9C" w:rsidRDefault="00794F9C" w:rsidP="00F72D3D">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SymbolMT">
    <w:altName w:val="MS Mincho"/>
    <w:panose1 w:val="00000000000000000000"/>
    <w:charset w:val="80"/>
    <w:family w:val="auto"/>
    <w:notTrueType/>
    <w:pitch w:val="default"/>
    <w:sig w:usb0="00000000" w:usb1="08070000" w:usb2="00000010" w:usb3="00000000" w:csb0="0002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23" w:rsidRDefault="00871C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23" w:rsidRDefault="00871C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23" w:rsidRDefault="00871C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F9C" w:rsidRDefault="00794F9C" w:rsidP="00F72D3D">
      <w:pPr>
        <w:spacing w:before="0" w:after="0" w:line="240" w:lineRule="auto"/>
      </w:pPr>
      <w:r>
        <w:separator/>
      </w:r>
    </w:p>
  </w:footnote>
  <w:footnote w:type="continuationSeparator" w:id="0">
    <w:p w:rsidR="00794F9C" w:rsidRDefault="00794F9C" w:rsidP="00F72D3D">
      <w:pPr>
        <w:spacing w:before="0" w:after="0" w:line="240" w:lineRule="auto"/>
      </w:pPr>
      <w:r>
        <w:continuationSeparator/>
      </w:r>
    </w:p>
  </w:footnote>
  <w:footnote w:id="1">
    <w:p w:rsidR="001A3B4A" w:rsidRDefault="001A3B4A" w:rsidP="001A3B4A">
      <w:pPr>
        <w:pStyle w:val="FootnoteText"/>
        <w:ind w:left="0" w:firstLine="0"/>
      </w:pPr>
      <w:r>
        <w:rPr>
          <w:rStyle w:val="FootnoteReference"/>
        </w:rPr>
        <w:footnoteRef/>
      </w:r>
      <w:r>
        <w:t xml:space="preserve"> Une note technique pour le choléra a été validée et décrit la stratégie opérationnelle détaillée à mettre en œuvre.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23" w:rsidRDefault="00871C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82838" o:spid="_x0000_s10242" type="#_x0000_t136" style="position:absolute;left:0;text-align:left;margin-left:0;margin-top:0;width:479.65pt;height:159.85pt;rotation:315;z-index:-251654144;mso-position-horizontal:center;mso-position-horizontal-relative:margin;mso-position-vertical:center;mso-position-vertical-relative:margin" o:allowincell="f" fillcolor="silver" stroked="f">
          <v:fill opacity=".5"/>
          <v:textpath style="font-family:&quot;Calibri&quot;;font-size:1pt" string="BROUILLO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23" w:rsidRDefault="00871C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82839" o:spid="_x0000_s10243" type="#_x0000_t136" style="position:absolute;left:0;text-align:left;margin-left:0;margin-top:0;width:479.65pt;height:159.85pt;rotation:315;z-index:-251652096;mso-position-horizontal:center;mso-position-horizontal-relative:margin;mso-position-vertical:center;mso-position-vertical-relative:margin" o:allowincell="f" fillcolor="silver" stroked="f">
          <v:fill opacity=".5"/>
          <v:textpath style="font-family:&quot;Calibri&quot;;font-size:1pt" string="BROUILLO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23" w:rsidRDefault="00871C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82837" o:spid="_x0000_s10241" type="#_x0000_t136" style="position:absolute;left:0;text-align:left;margin-left:0;margin-top:0;width:479.65pt;height:159.85pt;rotation:315;z-index:-251656192;mso-position-horizontal:center;mso-position-horizontal-relative:margin;mso-position-vertical:center;mso-position-vertical-relative:margin" o:allowincell="f" fillcolor="silver" stroked="f">
          <v:fill opacity=".5"/>
          <v:textpath style="font-family:&quot;Calibri&quot;;font-size:1pt" string="BROUILLO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0B2E"/>
    <w:multiLevelType w:val="multilevel"/>
    <w:tmpl w:val="7D186A3C"/>
    <w:lvl w:ilvl="0">
      <w:start w:val="1"/>
      <w:numFmt w:val="bullet"/>
      <w:lvlText w:val=""/>
      <w:lvlJc w:val="left"/>
      <w:pPr>
        <w:ind w:left="360" w:hanging="360"/>
      </w:pPr>
      <w:rPr>
        <w:rFonts w:ascii="Symbol" w:hAnsi="Symbol" w:hint="default"/>
      </w:rPr>
    </w:lvl>
    <w:lvl w:ilvl="1">
      <w:numFmt w:val="bullet"/>
      <w:lvlText w:val="−"/>
      <w:lvlJc w:val="left"/>
      <w:pPr>
        <w:ind w:left="792" w:hanging="432"/>
      </w:pPr>
      <w:rPr>
        <w:rFonts w:ascii="Calibri" w:eastAsia="SymbolMT"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9F16C92"/>
    <w:multiLevelType w:val="hybridMultilevel"/>
    <w:tmpl w:val="6EA63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C40313"/>
    <w:multiLevelType w:val="hybridMultilevel"/>
    <w:tmpl w:val="64523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6A5327"/>
    <w:multiLevelType w:val="multilevel"/>
    <w:tmpl w:val="7D186A3C"/>
    <w:lvl w:ilvl="0">
      <w:start w:val="1"/>
      <w:numFmt w:val="bullet"/>
      <w:lvlText w:val=""/>
      <w:lvlJc w:val="left"/>
      <w:pPr>
        <w:ind w:left="360" w:hanging="360"/>
      </w:pPr>
      <w:rPr>
        <w:rFonts w:ascii="Symbol" w:hAnsi="Symbol" w:hint="default"/>
      </w:rPr>
    </w:lvl>
    <w:lvl w:ilvl="1">
      <w:numFmt w:val="bullet"/>
      <w:lvlText w:val="−"/>
      <w:lvlJc w:val="left"/>
      <w:pPr>
        <w:ind w:left="792" w:hanging="432"/>
      </w:pPr>
      <w:rPr>
        <w:rFonts w:ascii="Calibri" w:eastAsia="SymbolMT"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7B55F1"/>
    <w:multiLevelType w:val="multilevel"/>
    <w:tmpl w:val="7D186A3C"/>
    <w:lvl w:ilvl="0">
      <w:start w:val="1"/>
      <w:numFmt w:val="bullet"/>
      <w:lvlText w:val=""/>
      <w:lvlJc w:val="left"/>
      <w:pPr>
        <w:ind w:left="360" w:hanging="360"/>
      </w:pPr>
      <w:rPr>
        <w:rFonts w:ascii="Symbol" w:hAnsi="Symbol" w:hint="default"/>
      </w:rPr>
    </w:lvl>
    <w:lvl w:ilvl="1">
      <w:numFmt w:val="bullet"/>
      <w:lvlText w:val="−"/>
      <w:lvlJc w:val="left"/>
      <w:pPr>
        <w:ind w:left="792" w:hanging="432"/>
      </w:pPr>
      <w:rPr>
        <w:rFonts w:ascii="Calibri" w:eastAsia="SymbolMT"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A4056CA"/>
    <w:multiLevelType w:val="multilevel"/>
    <w:tmpl w:val="7D186A3C"/>
    <w:lvl w:ilvl="0">
      <w:start w:val="1"/>
      <w:numFmt w:val="bullet"/>
      <w:lvlText w:val=""/>
      <w:lvlJc w:val="left"/>
      <w:pPr>
        <w:ind w:left="360" w:hanging="360"/>
      </w:pPr>
      <w:rPr>
        <w:rFonts w:ascii="Symbol" w:hAnsi="Symbol" w:hint="default"/>
      </w:rPr>
    </w:lvl>
    <w:lvl w:ilvl="1">
      <w:numFmt w:val="bullet"/>
      <w:lvlText w:val="−"/>
      <w:lvlJc w:val="left"/>
      <w:pPr>
        <w:ind w:left="792" w:hanging="432"/>
      </w:pPr>
      <w:rPr>
        <w:rFonts w:ascii="Calibri" w:eastAsia="SymbolMT"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EF175D0"/>
    <w:multiLevelType w:val="hybridMultilevel"/>
    <w:tmpl w:val="899CA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F016C3"/>
    <w:multiLevelType w:val="multilevel"/>
    <w:tmpl w:val="7D186A3C"/>
    <w:lvl w:ilvl="0">
      <w:start w:val="1"/>
      <w:numFmt w:val="bullet"/>
      <w:lvlText w:val=""/>
      <w:lvlJc w:val="left"/>
      <w:pPr>
        <w:ind w:left="360" w:hanging="360"/>
      </w:pPr>
      <w:rPr>
        <w:rFonts w:ascii="Symbol" w:hAnsi="Symbol" w:hint="default"/>
      </w:rPr>
    </w:lvl>
    <w:lvl w:ilvl="1">
      <w:numFmt w:val="bullet"/>
      <w:lvlText w:val="−"/>
      <w:lvlJc w:val="left"/>
      <w:pPr>
        <w:ind w:left="792" w:hanging="432"/>
      </w:pPr>
      <w:rPr>
        <w:rFonts w:ascii="Calibri" w:eastAsia="SymbolMT"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FF56B2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8911522"/>
    <w:multiLevelType w:val="multilevel"/>
    <w:tmpl w:val="7D186A3C"/>
    <w:lvl w:ilvl="0">
      <w:start w:val="1"/>
      <w:numFmt w:val="bullet"/>
      <w:lvlText w:val=""/>
      <w:lvlJc w:val="left"/>
      <w:pPr>
        <w:ind w:left="1068" w:hanging="360"/>
      </w:pPr>
      <w:rPr>
        <w:rFonts w:ascii="Symbol" w:hAnsi="Symbol" w:hint="default"/>
      </w:rPr>
    </w:lvl>
    <w:lvl w:ilvl="1">
      <w:numFmt w:val="bullet"/>
      <w:lvlText w:val="−"/>
      <w:lvlJc w:val="left"/>
      <w:pPr>
        <w:ind w:left="1500" w:hanging="432"/>
      </w:pPr>
      <w:rPr>
        <w:rFonts w:ascii="Calibri" w:eastAsia="SymbolMT" w:hAnsi="Calibri" w:cs="Calibri" w:hint="default"/>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0">
    <w:nsid w:val="52A2483D"/>
    <w:multiLevelType w:val="hybridMultilevel"/>
    <w:tmpl w:val="23B40374"/>
    <w:lvl w:ilvl="0" w:tplc="D17C215C">
      <w:numFmt w:val="bullet"/>
      <w:lvlText w:val="−"/>
      <w:lvlJc w:val="left"/>
      <w:pPr>
        <w:ind w:left="720" w:hanging="360"/>
      </w:pPr>
      <w:rPr>
        <w:rFonts w:ascii="Calibri" w:eastAsia="SymbolMT"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2D62F58"/>
    <w:multiLevelType w:val="hybridMultilevel"/>
    <w:tmpl w:val="73203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9137571"/>
    <w:multiLevelType w:val="hybridMultilevel"/>
    <w:tmpl w:val="98D6BE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AF12A22"/>
    <w:multiLevelType w:val="hybridMultilevel"/>
    <w:tmpl w:val="1FBE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46698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40313A1"/>
    <w:multiLevelType w:val="hybridMultilevel"/>
    <w:tmpl w:val="5268E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413662F"/>
    <w:multiLevelType w:val="hybridMultilevel"/>
    <w:tmpl w:val="6F429D66"/>
    <w:lvl w:ilvl="0" w:tplc="A5647F58">
      <w:start w:val="1"/>
      <w:numFmt w:val="decimal"/>
      <w:lvlText w:val="%1."/>
      <w:lvlJc w:val="left"/>
      <w:pPr>
        <w:ind w:left="720" w:hanging="360"/>
      </w:pPr>
      <w:rPr>
        <w:rFonts w:ascii="Calibri" w:hAnsi="Calibri" w:cs="Calibri" w:hint="default"/>
        <w:color w:val="auto"/>
        <w:sz w:val="2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87F1614"/>
    <w:multiLevelType w:val="hybridMultilevel"/>
    <w:tmpl w:val="497EF4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A200EF5"/>
    <w:multiLevelType w:val="multilevel"/>
    <w:tmpl w:val="7D186A3C"/>
    <w:lvl w:ilvl="0">
      <w:start w:val="1"/>
      <w:numFmt w:val="bullet"/>
      <w:lvlText w:val=""/>
      <w:lvlJc w:val="left"/>
      <w:pPr>
        <w:ind w:left="1068" w:hanging="360"/>
      </w:pPr>
      <w:rPr>
        <w:rFonts w:ascii="Symbol" w:hAnsi="Symbol" w:hint="default"/>
      </w:rPr>
    </w:lvl>
    <w:lvl w:ilvl="1">
      <w:numFmt w:val="bullet"/>
      <w:lvlText w:val="−"/>
      <w:lvlJc w:val="left"/>
      <w:pPr>
        <w:ind w:left="1500" w:hanging="432"/>
      </w:pPr>
      <w:rPr>
        <w:rFonts w:ascii="Calibri" w:eastAsia="SymbolMT" w:hAnsi="Calibri" w:cs="Calibri" w:hint="default"/>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9">
    <w:nsid w:val="6A896AEF"/>
    <w:multiLevelType w:val="hybridMultilevel"/>
    <w:tmpl w:val="B81211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A4868BE"/>
    <w:multiLevelType w:val="hybridMultilevel"/>
    <w:tmpl w:val="B8121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A72448D"/>
    <w:multiLevelType w:val="multilevel"/>
    <w:tmpl w:val="7D186A3C"/>
    <w:lvl w:ilvl="0">
      <w:start w:val="1"/>
      <w:numFmt w:val="bullet"/>
      <w:lvlText w:val=""/>
      <w:lvlJc w:val="left"/>
      <w:pPr>
        <w:ind w:left="360" w:hanging="360"/>
      </w:pPr>
      <w:rPr>
        <w:rFonts w:ascii="Symbol" w:hAnsi="Symbol" w:hint="default"/>
      </w:rPr>
    </w:lvl>
    <w:lvl w:ilvl="1">
      <w:numFmt w:val="bullet"/>
      <w:lvlText w:val="−"/>
      <w:lvlJc w:val="left"/>
      <w:pPr>
        <w:ind w:left="792" w:hanging="432"/>
      </w:pPr>
      <w:rPr>
        <w:rFonts w:ascii="Calibri" w:eastAsia="SymbolMT"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3C2FE0"/>
    <w:multiLevelType w:val="hybridMultilevel"/>
    <w:tmpl w:val="497EF4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D55056A"/>
    <w:multiLevelType w:val="multilevel"/>
    <w:tmpl w:val="D77C2B3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F8E3F1A"/>
    <w:multiLevelType w:val="hybridMultilevel"/>
    <w:tmpl w:val="164A8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6"/>
  </w:num>
  <w:num w:numId="3">
    <w:abstractNumId w:val="13"/>
  </w:num>
  <w:num w:numId="4">
    <w:abstractNumId w:val="24"/>
  </w:num>
  <w:num w:numId="5">
    <w:abstractNumId w:val="11"/>
  </w:num>
  <w:num w:numId="6">
    <w:abstractNumId w:val="22"/>
  </w:num>
  <w:num w:numId="7">
    <w:abstractNumId w:val="20"/>
  </w:num>
  <w:num w:numId="8">
    <w:abstractNumId w:val="23"/>
  </w:num>
  <w:num w:numId="9">
    <w:abstractNumId w:val="15"/>
  </w:num>
  <w:num w:numId="10">
    <w:abstractNumId w:val="16"/>
  </w:num>
  <w:num w:numId="11">
    <w:abstractNumId w:val="12"/>
  </w:num>
  <w:num w:numId="12">
    <w:abstractNumId w:val="2"/>
  </w:num>
  <w:num w:numId="13">
    <w:abstractNumId w:val="10"/>
  </w:num>
  <w:num w:numId="14">
    <w:abstractNumId w:val="5"/>
  </w:num>
  <w:num w:numId="15">
    <w:abstractNumId w:val="21"/>
  </w:num>
  <w:num w:numId="16">
    <w:abstractNumId w:val="4"/>
  </w:num>
  <w:num w:numId="17">
    <w:abstractNumId w:val="3"/>
  </w:num>
  <w:num w:numId="18">
    <w:abstractNumId w:val="17"/>
  </w:num>
  <w:num w:numId="19">
    <w:abstractNumId w:val="0"/>
  </w:num>
  <w:num w:numId="20">
    <w:abstractNumId w:val="1"/>
  </w:num>
  <w:num w:numId="21">
    <w:abstractNumId w:val="7"/>
  </w:num>
  <w:num w:numId="22">
    <w:abstractNumId w:val="8"/>
  </w:num>
  <w:num w:numId="23">
    <w:abstractNumId w:val="19"/>
  </w:num>
  <w:num w:numId="24">
    <w:abstractNumId w:val="9"/>
  </w:num>
  <w:num w:numId="25">
    <w:abstractNumId w:val="1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o:shapelayout v:ext="edit">
      <o:idmap v:ext="edit" data="10"/>
    </o:shapelayout>
  </w:hdrShapeDefaults>
  <w:footnotePr>
    <w:footnote w:id="-1"/>
    <w:footnote w:id="0"/>
  </w:footnotePr>
  <w:endnotePr>
    <w:endnote w:id="-1"/>
    <w:endnote w:id="0"/>
  </w:endnotePr>
  <w:compat/>
  <w:rsids>
    <w:rsidRoot w:val="00952504"/>
    <w:rsid w:val="00017893"/>
    <w:rsid w:val="000379EA"/>
    <w:rsid w:val="00073027"/>
    <w:rsid w:val="000A5E55"/>
    <w:rsid w:val="000B146D"/>
    <w:rsid w:val="00121065"/>
    <w:rsid w:val="00156E76"/>
    <w:rsid w:val="001A3B4A"/>
    <w:rsid w:val="001A64EC"/>
    <w:rsid w:val="001D04D3"/>
    <w:rsid w:val="001D224B"/>
    <w:rsid w:val="001E2D91"/>
    <w:rsid w:val="00204077"/>
    <w:rsid w:val="00220B88"/>
    <w:rsid w:val="00224FE1"/>
    <w:rsid w:val="0025042D"/>
    <w:rsid w:val="00294AD6"/>
    <w:rsid w:val="002B1B5E"/>
    <w:rsid w:val="002B6EEA"/>
    <w:rsid w:val="00304B8B"/>
    <w:rsid w:val="00327659"/>
    <w:rsid w:val="003545CC"/>
    <w:rsid w:val="0036791E"/>
    <w:rsid w:val="00371F7A"/>
    <w:rsid w:val="003963D4"/>
    <w:rsid w:val="003A14B1"/>
    <w:rsid w:val="003B6194"/>
    <w:rsid w:val="003E1C73"/>
    <w:rsid w:val="00407B17"/>
    <w:rsid w:val="004203A5"/>
    <w:rsid w:val="004406CD"/>
    <w:rsid w:val="0045434E"/>
    <w:rsid w:val="004E1BCA"/>
    <w:rsid w:val="004E6DEF"/>
    <w:rsid w:val="00544FA9"/>
    <w:rsid w:val="0054543D"/>
    <w:rsid w:val="0056386E"/>
    <w:rsid w:val="00573EDA"/>
    <w:rsid w:val="00584D19"/>
    <w:rsid w:val="005A6B8C"/>
    <w:rsid w:val="005B41F8"/>
    <w:rsid w:val="005B4C32"/>
    <w:rsid w:val="005B7F7A"/>
    <w:rsid w:val="005C3DFD"/>
    <w:rsid w:val="00622786"/>
    <w:rsid w:val="00633D38"/>
    <w:rsid w:val="006C195B"/>
    <w:rsid w:val="006C4434"/>
    <w:rsid w:val="00723AE8"/>
    <w:rsid w:val="00743CEB"/>
    <w:rsid w:val="007779A0"/>
    <w:rsid w:val="00794F9C"/>
    <w:rsid w:val="007C36F1"/>
    <w:rsid w:val="007E0EF4"/>
    <w:rsid w:val="007F5E2E"/>
    <w:rsid w:val="008228CF"/>
    <w:rsid w:val="00832D4C"/>
    <w:rsid w:val="00854FC7"/>
    <w:rsid w:val="00871C23"/>
    <w:rsid w:val="0088008B"/>
    <w:rsid w:val="00881BD0"/>
    <w:rsid w:val="008931F4"/>
    <w:rsid w:val="008A1004"/>
    <w:rsid w:val="008D20B6"/>
    <w:rsid w:val="008E0F9F"/>
    <w:rsid w:val="008E1BEA"/>
    <w:rsid w:val="00907AC6"/>
    <w:rsid w:val="00952504"/>
    <w:rsid w:val="009710CC"/>
    <w:rsid w:val="00993821"/>
    <w:rsid w:val="009969BF"/>
    <w:rsid w:val="00997621"/>
    <w:rsid w:val="009C3672"/>
    <w:rsid w:val="009F64A4"/>
    <w:rsid w:val="00A0205E"/>
    <w:rsid w:val="00AA2CFD"/>
    <w:rsid w:val="00AB4AD0"/>
    <w:rsid w:val="00AC6670"/>
    <w:rsid w:val="00AD474F"/>
    <w:rsid w:val="00AE1386"/>
    <w:rsid w:val="00B232BF"/>
    <w:rsid w:val="00B31E80"/>
    <w:rsid w:val="00B64594"/>
    <w:rsid w:val="00B65843"/>
    <w:rsid w:val="00B73F05"/>
    <w:rsid w:val="00BA0030"/>
    <w:rsid w:val="00BF16F7"/>
    <w:rsid w:val="00C057D7"/>
    <w:rsid w:val="00C12533"/>
    <w:rsid w:val="00C25721"/>
    <w:rsid w:val="00C37C46"/>
    <w:rsid w:val="00C55586"/>
    <w:rsid w:val="00C72BCA"/>
    <w:rsid w:val="00CB2D02"/>
    <w:rsid w:val="00CC43B2"/>
    <w:rsid w:val="00CF341A"/>
    <w:rsid w:val="00D51448"/>
    <w:rsid w:val="00D64A96"/>
    <w:rsid w:val="00D8686C"/>
    <w:rsid w:val="00DB349D"/>
    <w:rsid w:val="00DD4AFD"/>
    <w:rsid w:val="00DF5578"/>
    <w:rsid w:val="00E27B9E"/>
    <w:rsid w:val="00E321DE"/>
    <w:rsid w:val="00EF6C34"/>
    <w:rsid w:val="00EF7430"/>
    <w:rsid w:val="00F03B62"/>
    <w:rsid w:val="00F1329A"/>
    <w:rsid w:val="00F14167"/>
    <w:rsid w:val="00F15C12"/>
    <w:rsid w:val="00F42C1D"/>
    <w:rsid w:val="00F6063F"/>
    <w:rsid w:val="00F60F25"/>
    <w:rsid w:val="00F67A00"/>
    <w:rsid w:val="00F72D3D"/>
    <w:rsid w:val="00F9615A"/>
    <w:rsid w:val="00FA5BF4"/>
    <w:rsid w:val="00FC70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240" w:after="200" w:line="276"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C12"/>
  </w:style>
  <w:style w:type="paragraph" w:styleId="Heading1">
    <w:name w:val="heading 1"/>
    <w:basedOn w:val="Normal"/>
    <w:next w:val="Normal"/>
    <w:link w:val="Heading1Char"/>
    <w:uiPriority w:val="9"/>
    <w:qFormat/>
    <w:rsid w:val="00F72D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0F9F"/>
    <w:pPr>
      <w:ind w:left="720"/>
      <w:contextualSpacing/>
    </w:pPr>
    <w:rPr>
      <w:rFonts w:ascii="Calibri" w:eastAsia="Calibri" w:hAnsi="Calibri" w:cs="Times New Roman"/>
    </w:rPr>
  </w:style>
  <w:style w:type="paragraph" w:customStyle="1" w:styleId="Default">
    <w:name w:val="Default"/>
    <w:rsid w:val="008E0F9F"/>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link w:val="ListParagraph"/>
    <w:uiPriority w:val="34"/>
    <w:locked/>
    <w:rsid w:val="00743CEB"/>
    <w:rPr>
      <w:rFonts w:ascii="Calibri" w:eastAsia="Calibri" w:hAnsi="Calibri" w:cs="Times New Roman"/>
    </w:rPr>
  </w:style>
  <w:style w:type="character" w:styleId="CommentReference">
    <w:name w:val="annotation reference"/>
    <w:basedOn w:val="DefaultParagraphFont"/>
    <w:uiPriority w:val="99"/>
    <w:semiHidden/>
    <w:unhideWhenUsed/>
    <w:rsid w:val="004E6DEF"/>
    <w:rPr>
      <w:sz w:val="16"/>
      <w:szCs w:val="16"/>
    </w:rPr>
  </w:style>
  <w:style w:type="paragraph" w:styleId="CommentText">
    <w:name w:val="annotation text"/>
    <w:basedOn w:val="Normal"/>
    <w:link w:val="CommentTextChar"/>
    <w:uiPriority w:val="99"/>
    <w:semiHidden/>
    <w:unhideWhenUsed/>
    <w:rsid w:val="004E6DEF"/>
    <w:pPr>
      <w:spacing w:line="240" w:lineRule="auto"/>
    </w:pPr>
    <w:rPr>
      <w:sz w:val="20"/>
      <w:szCs w:val="20"/>
    </w:rPr>
  </w:style>
  <w:style w:type="character" w:customStyle="1" w:styleId="CommentTextChar">
    <w:name w:val="Comment Text Char"/>
    <w:basedOn w:val="DefaultParagraphFont"/>
    <w:link w:val="CommentText"/>
    <w:uiPriority w:val="99"/>
    <w:semiHidden/>
    <w:rsid w:val="004E6DEF"/>
    <w:rPr>
      <w:sz w:val="20"/>
      <w:szCs w:val="20"/>
    </w:rPr>
  </w:style>
  <w:style w:type="paragraph" w:styleId="CommentSubject">
    <w:name w:val="annotation subject"/>
    <w:basedOn w:val="CommentText"/>
    <w:next w:val="CommentText"/>
    <w:link w:val="CommentSubjectChar"/>
    <w:uiPriority w:val="99"/>
    <w:semiHidden/>
    <w:unhideWhenUsed/>
    <w:rsid w:val="004E6DEF"/>
    <w:rPr>
      <w:b/>
      <w:bCs/>
    </w:rPr>
  </w:style>
  <w:style w:type="character" w:customStyle="1" w:styleId="CommentSubjectChar">
    <w:name w:val="Comment Subject Char"/>
    <w:basedOn w:val="CommentTextChar"/>
    <w:link w:val="CommentSubject"/>
    <w:uiPriority w:val="99"/>
    <w:semiHidden/>
    <w:rsid w:val="004E6DEF"/>
    <w:rPr>
      <w:b/>
      <w:bCs/>
    </w:rPr>
  </w:style>
  <w:style w:type="paragraph" w:styleId="BalloonText">
    <w:name w:val="Balloon Text"/>
    <w:basedOn w:val="Normal"/>
    <w:link w:val="BalloonTextChar"/>
    <w:uiPriority w:val="99"/>
    <w:semiHidden/>
    <w:unhideWhenUsed/>
    <w:rsid w:val="004E6DE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DEF"/>
    <w:rPr>
      <w:rFonts w:ascii="Tahoma" w:hAnsi="Tahoma" w:cs="Tahoma"/>
      <w:sz w:val="16"/>
      <w:szCs w:val="16"/>
    </w:rPr>
  </w:style>
  <w:style w:type="table" w:styleId="TableGrid">
    <w:name w:val="Table Grid"/>
    <w:basedOn w:val="TableNormal"/>
    <w:uiPriority w:val="59"/>
    <w:rsid w:val="00F67A00"/>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3545CC"/>
  </w:style>
  <w:style w:type="character" w:customStyle="1" w:styleId="Heading1Char">
    <w:name w:val="Heading 1 Char"/>
    <w:basedOn w:val="DefaultParagraphFont"/>
    <w:link w:val="Heading1"/>
    <w:uiPriority w:val="9"/>
    <w:rsid w:val="00F72D3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72D3D"/>
    <w:pPr>
      <w:ind w:left="0" w:firstLine="0"/>
      <w:outlineLvl w:val="9"/>
    </w:pPr>
    <w:rPr>
      <w:lang w:val="en-US"/>
    </w:rPr>
  </w:style>
  <w:style w:type="paragraph" w:styleId="Header">
    <w:name w:val="header"/>
    <w:basedOn w:val="Normal"/>
    <w:link w:val="HeaderChar"/>
    <w:uiPriority w:val="99"/>
    <w:semiHidden/>
    <w:unhideWhenUsed/>
    <w:rsid w:val="00F72D3D"/>
    <w:pPr>
      <w:tabs>
        <w:tab w:val="center" w:pos="4536"/>
        <w:tab w:val="right" w:pos="9072"/>
      </w:tabs>
      <w:spacing w:before="0" w:after="0" w:line="240" w:lineRule="auto"/>
    </w:pPr>
  </w:style>
  <w:style w:type="character" w:customStyle="1" w:styleId="HeaderChar">
    <w:name w:val="Header Char"/>
    <w:basedOn w:val="DefaultParagraphFont"/>
    <w:link w:val="Header"/>
    <w:uiPriority w:val="99"/>
    <w:semiHidden/>
    <w:rsid w:val="00F72D3D"/>
  </w:style>
  <w:style w:type="paragraph" w:styleId="Footer">
    <w:name w:val="footer"/>
    <w:basedOn w:val="Normal"/>
    <w:link w:val="FooterChar"/>
    <w:uiPriority w:val="99"/>
    <w:semiHidden/>
    <w:unhideWhenUsed/>
    <w:rsid w:val="00F72D3D"/>
    <w:pPr>
      <w:tabs>
        <w:tab w:val="center" w:pos="4536"/>
        <w:tab w:val="right" w:pos="9072"/>
      </w:tabs>
      <w:spacing w:before="0" w:after="0" w:line="240" w:lineRule="auto"/>
    </w:pPr>
  </w:style>
  <w:style w:type="character" w:customStyle="1" w:styleId="FooterChar">
    <w:name w:val="Footer Char"/>
    <w:basedOn w:val="DefaultParagraphFont"/>
    <w:link w:val="Footer"/>
    <w:uiPriority w:val="99"/>
    <w:semiHidden/>
    <w:rsid w:val="00F72D3D"/>
  </w:style>
  <w:style w:type="paragraph" w:styleId="FootnoteText">
    <w:name w:val="footnote text"/>
    <w:basedOn w:val="Normal"/>
    <w:link w:val="FootnoteTextChar"/>
    <w:uiPriority w:val="99"/>
    <w:semiHidden/>
    <w:unhideWhenUsed/>
    <w:rsid w:val="001A3B4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1A3B4A"/>
    <w:rPr>
      <w:sz w:val="20"/>
      <w:szCs w:val="20"/>
    </w:rPr>
  </w:style>
  <w:style w:type="character" w:styleId="FootnoteReference">
    <w:name w:val="footnote reference"/>
    <w:basedOn w:val="DefaultParagraphFont"/>
    <w:uiPriority w:val="99"/>
    <w:semiHidden/>
    <w:unhideWhenUsed/>
    <w:rsid w:val="001A3B4A"/>
    <w:rPr>
      <w:vertAlign w:val="superscript"/>
    </w:rPr>
  </w:style>
</w:styles>
</file>

<file path=word/webSettings.xml><?xml version="1.0" encoding="utf-8"?>
<w:webSettings xmlns:r="http://schemas.openxmlformats.org/officeDocument/2006/relationships" xmlns:w="http://schemas.openxmlformats.org/wordprocessingml/2006/main">
  <w:divs>
    <w:div w:id="344675903">
      <w:bodyDiv w:val="1"/>
      <w:marLeft w:val="0"/>
      <w:marRight w:val="0"/>
      <w:marTop w:val="0"/>
      <w:marBottom w:val="0"/>
      <w:divBdr>
        <w:top w:val="none" w:sz="0" w:space="0" w:color="auto"/>
        <w:left w:val="none" w:sz="0" w:space="0" w:color="auto"/>
        <w:bottom w:val="none" w:sz="0" w:space="0" w:color="auto"/>
        <w:right w:val="none" w:sz="0" w:space="0" w:color="auto"/>
      </w:divBdr>
    </w:div>
    <w:div w:id="130338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fr-FR"/>
              <a:t>Couverture</a:t>
            </a:r>
            <a:r>
              <a:rPr lang="fr-FR" baseline="0"/>
              <a:t> de la population en eau potable par Région</a:t>
            </a:r>
            <a:endParaRPr lang="fr-FR"/>
          </a:p>
        </c:rich>
      </c:tx>
    </c:title>
    <c:plotArea>
      <c:layout/>
      <c:barChart>
        <c:barDir val="col"/>
        <c:grouping val="clustered"/>
        <c:ser>
          <c:idx val="0"/>
          <c:order val="0"/>
          <c:dLbls>
            <c:dLblPos val="outEnd"/>
            <c:showVal val="1"/>
          </c:dLbls>
          <c:cat>
            <c:strRef>
              <c:f>Sheet1!$D$2:$D$9</c:f>
              <c:strCache>
                <c:ptCount val="8"/>
                <c:pt idx="0">
                  <c:v>Gao</c:v>
                </c:pt>
                <c:pt idx="1">
                  <c:v>Kidal</c:v>
                </c:pt>
                <c:pt idx="2">
                  <c:v>Ségou</c:v>
                </c:pt>
                <c:pt idx="3">
                  <c:v>Koulikoro</c:v>
                </c:pt>
                <c:pt idx="4">
                  <c:v>Mopti</c:v>
                </c:pt>
                <c:pt idx="5">
                  <c:v>Sikasso</c:v>
                </c:pt>
                <c:pt idx="6">
                  <c:v>Kayes </c:v>
                </c:pt>
                <c:pt idx="7">
                  <c:v>Tombouctou</c:v>
                </c:pt>
              </c:strCache>
            </c:strRef>
          </c:cat>
          <c:val>
            <c:numRef>
              <c:f>Sheet1!$E$2:$E$9</c:f>
              <c:numCache>
                <c:formatCode>0%</c:formatCode>
                <c:ptCount val="8"/>
                <c:pt idx="0">
                  <c:v>0.29000000000000004</c:v>
                </c:pt>
                <c:pt idx="1">
                  <c:v>0.39000000000000007</c:v>
                </c:pt>
                <c:pt idx="2">
                  <c:v>0.42000000000000004</c:v>
                </c:pt>
                <c:pt idx="3">
                  <c:v>0.48000000000000004</c:v>
                </c:pt>
                <c:pt idx="4">
                  <c:v>0.53</c:v>
                </c:pt>
                <c:pt idx="5">
                  <c:v>0.55000000000000004</c:v>
                </c:pt>
                <c:pt idx="6">
                  <c:v>0.56000000000000005</c:v>
                </c:pt>
                <c:pt idx="7">
                  <c:v>0.59</c:v>
                </c:pt>
              </c:numCache>
            </c:numRef>
          </c:val>
        </c:ser>
        <c:axId val="160656768"/>
        <c:axId val="161195136"/>
      </c:barChart>
      <c:catAx>
        <c:axId val="160656768"/>
        <c:scaling>
          <c:orientation val="minMax"/>
        </c:scaling>
        <c:axPos val="b"/>
        <c:tickLblPos val="nextTo"/>
        <c:crossAx val="161195136"/>
        <c:crosses val="autoZero"/>
        <c:auto val="1"/>
        <c:lblAlgn val="ctr"/>
        <c:lblOffset val="100"/>
      </c:catAx>
      <c:valAx>
        <c:axId val="161195136"/>
        <c:scaling>
          <c:orientation val="minMax"/>
        </c:scaling>
        <c:axPos val="l"/>
        <c:majorGridlines/>
        <c:numFmt formatCode="0%" sourceLinked="1"/>
        <c:tickLblPos val="nextTo"/>
        <c:crossAx val="160656768"/>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182124-C092-4FCA-846F-EC15AC2C1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16</Pages>
  <Words>5396</Words>
  <Characters>29678</Characters>
  <Application>Microsoft Office Word</Application>
  <DocSecurity>0</DocSecurity>
  <Lines>247</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6</cp:revision>
  <dcterms:created xsi:type="dcterms:W3CDTF">2012-07-19T11:20:00Z</dcterms:created>
  <dcterms:modified xsi:type="dcterms:W3CDTF">2012-07-21T15:04:00Z</dcterms:modified>
</cp:coreProperties>
</file>